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r w:rsidRPr="00717540">
        <w:rPr>
          <w:rFonts w:ascii="Arial" w:hAnsi="Arial" w:cs="Arial"/>
          <w:sz w:val="22"/>
          <w:szCs w:val="22"/>
        </w:rPr>
        <w:t>ANEXO</w:t>
      </w:r>
    </w:p>
    <w:p w:rsidR="006B0319" w:rsidRPr="00717540" w:rsidRDefault="006B0319" w:rsidP="001419DB">
      <w:pPr>
        <w:ind w:firstLine="720"/>
        <w:jc w:val="both"/>
        <w:rPr>
          <w:rFonts w:ascii="Arial" w:eastAsia="Times New Roman" w:hAnsi="Arial" w:cs="Arial"/>
          <w:spacing w:val="20"/>
          <w:sz w:val="22"/>
          <w:szCs w:val="22"/>
          <w:lang w:val="es-ES"/>
        </w:rPr>
      </w:pPr>
    </w:p>
    <w:p w:rsidR="00717540"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la Ordenanza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771712">
        <w:rPr>
          <w:rFonts w:ascii="Arial" w:eastAsia="Times New Roman" w:hAnsi="Arial" w:cs="Arial"/>
          <w:i/>
          <w:spacing w:val="20"/>
          <w:sz w:val="22"/>
          <w:szCs w:val="22"/>
          <w:lang w:val="es-ES"/>
        </w:rPr>
        <w:t xml:space="preserve"> reguladora de</w:t>
      </w:r>
      <w:r w:rsidR="009B54C5">
        <w:rPr>
          <w:rFonts w:ascii="Arial" w:eastAsia="Times New Roman" w:hAnsi="Arial" w:cs="Arial"/>
          <w:i/>
          <w:spacing w:val="20"/>
          <w:sz w:val="22"/>
          <w:szCs w:val="22"/>
          <w:lang w:val="es-ES"/>
        </w:rPr>
        <w:t xml:space="preserve"> la Tasa por </w:t>
      </w:r>
      <w:r w:rsidR="00D00546">
        <w:rPr>
          <w:rFonts w:ascii="Arial" w:eastAsia="Times New Roman" w:hAnsi="Arial" w:cs="Arial"/>
          <w:i/>
          <w:spacing w:val="20"/>
          <w:sz w:val="22"/>
          <w:szCs w:val="22"/>
          <w:lang w:val="es-ES"/>
        </w:rPr>
        <w:t>Utilización Privativa o Aprovechamiento Especial del Dominio Público Local</w:t>
      </w:r>
      <w:r w:rsidR="0012214D">
        <w:rPr>
          <w:rFonts w:ascii="Arial" w:eastAsia="Times New Roman" w:hAnsi="Arial" w:cs="Arial"/>
          <w:i/>
          <w:spacing w:val="20"/>
          <w:sz w:val="22"/>
          <w:szCs w:val="22"/>
          <w:lang w:val="es-ES"/>
        </w:rPr>
        <w:t>.</w:t>
      </w:r>
    </w:p>
    <w:p w:rsidR="0012214D" w:rsidRPr="00717540" w:rsidRDefault="0012214D" w:rsidP="001419DB">
      <w:pPr>
        <w:ind w:firstLine="720"/>
        <w:jc w:val="both"/>
        <w:rPr>
          <w:rFonts w:ascii="Arial" w:eastAsia="Times New Roman" w:hAnsi="Arial" w:cs="Arial"/>
          <w:i/>
          <w:spacing w:val="20"/>
          <w:sz w:val="22"/>
          <w:szCs w:val="22"/>
          <w:lang w:val="es-ES"/>
        </w:rPr>
      </w:pPr>
    </w:p>
    <w:p w:rsidR="006B0319" w:rsidRPr="001B4B0C" w:rsidRDefault="006B0319" w:rsidP="001419DB">
      <w:pPr>
        <w:ind w:firstLine="720"/>
        <w:jc w:val="both"/>
        <w:rPr>
          <w:rFonts w:ascii="Arial" w:eastAsia="Times New Roman" w:hAnsi="Arial" w:cs="Arial"/>
          <w:spacing w:val="20"/>
          <w:sz w:val="22"/>
          <w:szCs w:val="22"/>
          <w:lang w:val="es-ES"/>
        </w:rPr>
      </w:pPr>
      <w:r w:rsidRPr="009B54C5">
        <w:rPr>
          <w:rFonts w:ascii="Arial" w:eastAsia="Times New Roman" w:hAnsi="Arial" w:cs="Arial"/>
          <w:spacing w:val="20"/>
          <w:sz w:val="22"/>
          <w:szCs w:val="22"/>
          <w:lang w:val="es-ES"/>
        </w:rPr>
        <w:t xml:space="preserve">La Ordenanza </w:t>
      </w:r>
      <w:r w:rsidR="0048001A" w:rsidRPr="009B54C5">
        <w:rPr>
          <w:rFonts w:ascii="Arial" w:eastAsia="Times New Roman" w:hAnsi="Arial" w:cs="Arial"/>
          <w:spacing w:val="20"/>
          <w:sz w:val="22"/>
          <w:szCs w:val="22"/>
          <w:lang w:val="es-ES"/>
        </w:rPr>
        <w:t>Fi</w:t>
      </w:r>
      <w:r w:rsidR="004A6396" w:rsidRPr="009B54C5">
        <w:rPr>
          <w:rFonts w:ascii="Arial" w:eastAsia="Times New Roman" w:hAnsi="Arial" w:cs="Arial"/>
          <w:spacing w:val="20"/>
          <w:sz w:val="22"/>
          <w:szCs w:val="22"/>
          <w:lang w:val="es-ES"/>
        </w:rPr>
        <w:t xml:space="preserve">scal </w:t>
      </w:r>
      <w:r w:rsidR="002C7186" w:rsidRPr="009B54C5">
        <w:rPr>
          <w:rFonts w:ascii="Arial" w:eastAsia="Times New Roman" w:hAnsi="Arial" w:cs="Arial"/>
          <w:spacing w:val="20"/>
          <w:sz w:val="22"/>
          <w:szCs w:val="22"/>
          <w:lang w:val="es-ES"/>
        </w:rPr>
        <w:t xml:space="preserve">reguladora </w:t>
      </w:r>
      <w:r w:rsidR="00771712" w:rsidRPr="009B54C5">
        <w:rPr>
          <w:rFonts w:ascii="Arial" w:eastAsia="Times New Roman" w:hAnsi="Arial" w:cs="Arial"/>
          <w:spacing w:val="20"/>
          <w:sz w:val="22"/>
          <w:szCs w:val="22"/>
          <w:lang w:val="es-ES"/>
        </w:rPr>
        <w:t xml:space="preserve">de </w:t>
      </w:r>
      <w:r w:rsidR="009B54C5" w:rsidRPr="009B54C5">
        <w:rPr>
          <w:rFonts w:ascii="Arial" w:eastAsia="Times New Roman" w:hAnsi="Arial" w:cs="Arial"/>
          <w:spacing w:val="20"/>
          <w:sz w:val="22"/>
          <w:szCs w:val="22"/>
          <w:lang w:val="es-ES"/>
        </w:rPr>
        <w:t xml:space="preserve">la Tasa por </w:t>
      </w:r>
      <w:r w:rsidR="005E4EBA" w:rsidRPr="001B4B0C">
        <w:rPr>
          <w:rFonts w:ascii="Arial" w:eastAsia="Times New Roman" w:hAnsi="Arial" w:cs="Arial"/>
          <w:spacing w:val="20"/>
          <w:sz w:val="22"/>
          <w:szCs w:val="22"/>
          <w:lang w:val="es-ES"/>
        </w:rPr>
        <w:t>Utilización Privativa o Aprovechamiento Especial del Dominio Público Local</w:t>
      </w:r>
      <w:r w:rsidR="001B4B0C" w:rsidRPr="001B4B0C">
        <w:rPr>
          <w:rFonts w:ascii="Arial" w:eastAsia="Times New Roman" w:hAnsi="Arial" w:cs="Arial"/>
          <w:spacing w:val="20"/>
          <w:sz w:val="22"/>
          <w:szCs w:val="22"/>
          <w:lang w:val="es-ES"/>
        </w:rPr>
        <w:t xml:space="preserve"> queda modificada del </w:t>
      </w:r>
      <w:r w:rsidR="001B4B0C">
        <w:rPr>
          <w:rFonts w:ascii="Arial" w:eastAsia="Times New Roman" w:hAnsi="Arial" w:cs="Arial"/>
          <w:spacing w:val="20"/>
          <w:sz w:val="22"/>
          <w:szCs w:val="22"/>
          <w:lang w:val="es-ES"/>
        </w:rPr>
        <w:t>siguiente modo:</w:t>
      </w:r>
    </w:p>
    <w:p w:rsidR="00F720B5" w:rsidRDefault="00F720B5" w:rsidP="001419DB">
      <w:pPr>
        <w:ind w:firstLine="720"/>
        <w:jc w:val="both"/>
        <w:rPr>
          <w:rFonts w:ascii="Arial" w:eastAsia="Times New Roman" w:hAnsi="Arial" w:cs="Arial"/>
          <w:spacing w:val="20"/>
          <w:sz w:val="22"/>
          <w:szCs w:val="22"/>
          <w:lang w:val="es-ES"/>
        </w:rPr>
      </w:pPr>
    </w:p>
    <w:p w:rsidR="00F720B5" w:rsidRDefault="00F720B5" w:rsidP="00F720B5">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Uno. Se modifica </w:t>
      </w:r>
      <w:r>
        <w:rPr>
          <w:rFonts w:ascii="Arial" w:eastAsia="Times New Roman" w:hAnsi="Arial" w:cs="Arial"/>
          <w:spacing w:val="20"/>
          <w:sz w:val="22"/>
          <w:szCs w:val="22"/>
          <w:lang w:val="es-ES"/>
        </w:rPr>
        <w:t xml:space="preserve">el artículo </w:t>
      </w:r>
      <w:r w:rsidR="005E4EBA">
        <w:rPr>
          <w:rFonts w:ascii="Arial" w:eastAsia="Times New Roman" w:hAnsi="Arial" w:cs="Arial"/>
          <w:spacing w:val="20"/>
          <w:sz w:val="22"/>
          <w:szCs w:val="22"/>
          <w:lang w:val="es-ES"/>
        </w:rPr>
        <w:t>1</w:t>
      </w:r>
      <w:r>
        <w:rPr>
          <w:rFonts w:ascii="Arial" w:eastAsia="Times New Roman" w:hAnsi="Arial" w:cs="Arial"/>
          <w:spacing w:val="20"/>
          <w:sz w:val="22"/>
          <w:szCs w:val="22"/>
          <w:lang w:val="es-ES"/>
        </w:rPr>
        <w:t>1, que queda re</w:t>
      </w:r>
      <w:bookmarkStart w:id="0" w:name="_GoBack"/>
      <w:bookmarkEnd w:id="0"/>
      <w:r>
        <w:rPr>
          <w:rFonts w:ascii="Arial" w:eastAsia="Times New Roman" w:hAnsi="Arial" w:cs="Arial"/>
          <w:spacing w:val="20"/>
          <w:sz w:val="22"/>
          <w:szCs w:val="22"/>
          <w:lang w:val="es-ES"/>
        </w:rPr>
        <w:t>dactado del siguiente modo:</w:t>
      </w:r>
      <w:r w:rsidRPr="00717540">
        <w:rPr>
          <w:rFonts w:ascii="Arial" w:eastAsia="Times New Roman" w:hAnsi="Arial" w:cs="Arial"/>
          <w:spacing w:val="20"/>
          <w:sz w:val="22"/>
          <w:szCs w:val="22"/>
          <w:lang w:val="es-ES"/>
        </w:rPr>
        <w:t xml:space="preserve"> </w:t>
      </w:r>
    </w:p>
    <w:p w:rsidR="00F720B5" w:rsidRDefault="00F720B5" w:rsidP="00F720B5">
      <w:pPr>
        <w:ind w:firstLine="720"/>
        <w:jc w:val="both"/>
        <w:rPr>
          <w:rFonts w:ascii="Arial" w:eastAsia="Times New Roman" w:hAnsi="Arial" w:cs="Arial"/>
          <w:spacing w:val="20"/>
          <w:sz w:val="22"/>
          <w:szCs w:val="22"/>
          <w:lang w:val="es-ES"/>
        </w:rPr>
      </w:pPr>
    </w:p>
    <w:p w:rsidR="005E4EBA" w:rsidRDefault="00C53DC2" w:rsidP="00C54C00">
      <w:pPr>
        <w:ind w:left="709" w:firstLine="709"/>
        <w:jc w:val="both"/>
        <w:rPr>
          <w:rFonts w:ascii="Arial" w:eastAsia="Times New Roman" w:hAnsi="Arial" w:cs="Arial"/>
          <w:sz w:val="22"/>
          <w:szCs w:val="22"/>
          <w:lang w:val="es-ES"/>
        </w:rPr>
      </w:pPr>
      <w:r>
        <w:rPr>
          <w:rFonts w:ascii="Arial" w:eastAsia="Times New Roman" w:hAnsi="Arial" w:cs="Arial"/>
          <w:sz w:val="22"/>
          <w:szCs w:val="22"/>
          <w:lang w:val="es-ES"/>
        </w:rPr>
        <w:t xml:space="preserve">«Artículo </w:t>
      </w:r>
      <w:r w:rsidR="005E4EBA">
        <w:rPr>
          <w:rFonts w:ascii="Arial" w:eastAsia="Times New Roman" w:hAnsi="Arial" w:cs="Arial"/>
          <w:sz w:val="22"/>
          <w:szCs w:val="22"/>
          <w:lang w:val="es-ES"/>
        </w:rPr>
        <w:t xml:space="preserve">11.1 </w:t>
      </w:r>
      <w:r w:rsidR="005E4EBA" w:rsidRPr="005E4EBA">
        <w:rPr>
          <w:rFonts w:ascii="Arial" w:eastAsia="Times New Roman" w:hAnsi="Arial" w:cs="Arial"/>
          <w:sz w:val="22"/>
          <w:szCs w:val="22"/>
          <w:lang w:val="es-ES"/>
        </w:rPr>
        <w:t>La cuantía de la tasa para cada paso de vehículos vendrá determinada por la siguiente fórmula:</w:t>
      </w:r>
    </w:p>
    <w:p w:rsidR="005E4EBA" w:rsidRDefault="005E4EBA" w:rsidP="00C54C00">
      <w:pPr>
        <w:ind w:left="709" w:firstLine="709"/>
        <w:jc w:val="both"/>
        <w:rPr>
          <w:rFonts w:ascii="Arial" w:eastAsia="Times New Roman" w:hAnsi="Arial" w:cs="Arial"/>
          <w:sz w:val="22"/>
          <w:szCs w:val="22"/>
          <w:lang w:val="es-ES"/>
        </w:rPr>
      </w:pPr>
    </w:p>
    <w:p w:rsidR="00F720B5" w:rsidRDefault="005E4EBA" w:rsidP="00C54C00">
      <w:pPr>
        <w:ind w:left="709" w:firstLine="709"/>
        <w:jc w:val="both"/>
        <w:rPr>
          <w:rFonts w:ascii="Arial" w:eastAsia="Times New Roman" w:hAnsi="Arial" w:cs="Arial"/>
          <w:bCs/>
          <w:sz w:val="22"/>
          <w:szCs w:val="22"/>
          <w:lang w:val="es-ES"/>
        </w:rPr>
      </w:pPr>
      <w:r w:rsidRPr="005E4EBA">
        <w:rPr>
          <w:rFonts w:ascii="Arial" w:eastAsia="Times New Roman" w:hAnsi="Arial" w:cs="Arial"/>
          <w:bCs/>
          <w:sz w:val="22"/>
          <w:szCs w:val="22"/>
          <w:lang w:val="es-ES"/>
        </w:rPr>
        <w:t>Cuota tributaria = Variable de ocupación + Variable de intensidad de uso</w:t>
      </w:r>
    </w:p>
    <w:p w:rsidR="005E4EBA" w:rsidRDefault="005E4EBA" w:rsidP="00C54C00">
      <w:pPr>
        <w:ind w:left="709" w:firstLine="709"/>
        <w:jc w:val="both"/>
        <w:rPr>
          <w:rFonts w:ascii="Arial" w:eastAsia="Times New Roman" w:hAnsi="Arial" w:cs="Arial"/>
          <w:sz w:val="22"/>
          <w:szCs w:val="22"/>
          <w:lang w:val="es-ES"/>
        </w:rPr>
      </w:pPr>
    </w:p>
    <w:p w:rsidR="005E4EBA" w:rsidRDefault="005E4EBA" w:rsidP="005E4EBA">
      <w:pPr>
        <w:ind w:left="709" w:firstLine="709"/>
        <w:jc w:val="both"/>
        <w:rPr>
          <w:rFonts w:ascii="Arial" w:eastAsia="Times New Roman" w:hAnsi="Arial" w:cs="Arial"/>
          <w:bCs/>
          <w:sz w:val="22"/>
          <w:szCs w:val="22"/>
          <w:lang w:val="es-ES"/>
        </w:rPr>
      </w:pPr>
      <w:r>
        <w:rPr>
          <w:rFonts w:ascii="Arial" w:eastAsia="Times New Roman" w:hAnsi="Arial" w:cs="Arial"/>
          <w:sz w:val="22"/>
          <w:szCs w:val="22"/>
          <w:lang w:val="es-ES"/>
        </w:rPr>
        <w:t xml:space="preserve">2. </w:t>
      </w:r>
      <w:r w:rsidRPr="005E4EBA">
        <w:rPr>
          <w:rFonts w:ascii="Arial" w:eastAsia="Times New Roman" w:hAnsi="Arial" w:cs="Arial"/>
          <w:sz w:val="22"/>
          <w:szCs w:val="22"/>
          <w:lang w:val="es-ES"/>
        </w:rPr>
        <w:t>La variable de ocupación será el resultado de multiplicar la tarifa de ocupación por la longitud, en metros lineales, del paso de vehículos.</w:t>
      </w:r>
      <w:r w:rsidRPr="005E4EBA">
        <w:rPr>
          <w:rFonts w:ascii="Arial" w:eastAsia="Times New Roman" w:hAnsi="Arial" w:cs="Arial"/>
          <w:bCs/>
          <w:sz w:val="22"/>
          <w:szCs w:val="22"/>
          <w:lang w:val="es-ES"/>
        </w:rPr>
        <w:t xml:space="preserve"> </w:t>
      </w:r>
    </w:p>
    <w:p w:rsidR="005E4EBA" w:rsidRDefault="005E4EBA" w:rsidP="005E4EBA">
      <w:pPr>
        <w:ind w:left="709" w:firstLine="709"/>
        <w:jc w:val="both"/>
        <w:rPr>
          <w:rFonts w:ascii="Arial" w:eastAsia="Times New Roman" w:hAnsi="Arial" w:cs="Arial"/>
          <w:bCs/>
          <w:sz w:val="22"/>
          <w:szCs w:val="22"/>
          <w:lang w:val="es-ES"/>
        </w:rPr>
      </w:pPr>
      <w:r w:rsidRPr="005E4EBA">
        <w:rPr>
          <w:rFonts w:ascii="Arial" w:eastAsia="Times New Roman" w:hAnsi="Arial" w:cs="Arial"/>
          <w:bCs/>
          <w:sz w:val="22"/>
          <w:szCs w:val="22"/>
          <w:lang w:val="es-ES"/>
        </w:rPr>
        <w:t>A tal efecto, la tarifa de ocupación representa el valor de la utilidad del metro cuadrado de superficie que es objeto de aprovechamiento especial con el paso de vehículos, y consistirá en una cuota fija, en función de la categoría fiscal de la calle en la que se ubica el paso de vehículos, de conformidad con la clasificación viaria que se contiene en el anexo de la Ordenanza Fiscal General de Gestión, Recaudación e Inspección, según lo dispuesto en el cuadro siguiente:</w:t>
      </w:r>
    </w:p>
    <w:p w:rsidR="00C83DF2" w:rsidRDefault="00C83DF2" w:rsidP="005E4EBA">
      <w:pPr>
        <w:ind w:left="709" w:firstLine="709"/>
        <w:jc w:val="both"/>
        <w:rPr>
          <w:rFonts w:ascii="Arial" w:eastAsia="Times New Roman" w:hAnsi="Arial" w:cs="Arial"/>
          <w:bCs/>
          <w:sz w:val="22"/>
          <w:szCs w:val="22"/>
          <w:lang w:val="es-ES"/>
        </w:rPr>
      </w:pPr>
    </w:p>
    <w:tbl>
      <w:tblPr>
        <w:tblStyle w:val="Tablaconcuadrcula"/>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851"/>
        <w:gridCol w:w="708"/>
        <w:gridCol w:w="851"/>
        <w:gridCol w:w="850"/>
        <w:gridCol w:w="851"/>
        <w:gridCol w:w="850"/>
        <w:gridCol w:w="709"/>
        <w:gridCol w:w="851"/>
        <w:gridCol w:w="850"/>
      </w:tblGrid>
      <w:tr w:rsidR="00C83DF2" w:rsidRPr="004C3D3D" w:rsidTr="00616BF8">
        <w:tc>
          <w:tcPr>
            <w:tcW w:w="8930" w:type="dxa"/>
            <w:gridSpan w:val="10"/>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u w:val="single"/>
              </w:rPr>
              <w:t>Categoría de las calles</w:t>
            </w:r>
          </w:p>
        </w:tc>
      </w:tr>
      <w:tr w:rsidR="003469B2" w:rsidRPr="004C3D3D" w:rsidTr="00616BF8">
        <w:tc>
          <w:tcPr>
            <w:tcW w:w="1559" w:type="dxa"/>
            <w:vAlign w:val="center"/>
          </w:tcPr>
          <w:p w:rsidR="00C83DF2" w:rsidRPr="004C3D3D" w:rsidRDefault="00C83DF2" w:rsidP="00135498">
            <w:pPr>
              <w:keepNext/>
              <w:spacing w:before="60" w:after="60"/>
              <w:ind w:left="180"/>
              <w:jc w:val="center"/>
              <w:rPr>
                <w:rFonts w:ascii="Arial" w:hAnsi="Arial" w:cs="Arial"/>
                <w:b/>
                <w:bCs/>
                <w:sz w:val="18"/>
                <w:szCs w:val="18"/>
              </w:rPr>
            </w:pPr>
          </w:p>
        </w:tc>
        <w:tc>
          <w:tcPr>
            <w:tcW w:w="851" w:type="dxa"/>
            <w:vAlign w:val="center"/>
          </w:tcPr>
          <w:p w:rsidR="00C83DF2" w:rsidRPr="004C3D3D" w:rsidRDefault="00C83DF2" w:rsidP="00135498">
            <w:pPr>
              <w:keepNext/>
              <w:spacing w:before="60" w:after="60"/>
              <w:ind w:left="36"/>
              <w:jc w:val="center"/>
              <w:rPr>
                <w:rFonts w:ascii="Arial" w:hAnsi="Arial" w:cs="Arial"/>
                <w:b/>
                <w:bCs/>
                <w:sz w:val="18"/>
                <w:szCs w:val="18"/>
              </w:rPr>
            </w:pPr>
            <w:r w:rsidRPr="004C3D3D">
              <w:rPr>
                <w:rFonts w:ascii="Arial" w:hAnsi="Arial" w:cs="Arial"/>
                <w:b/>
                <w:bCs/>
                <w:sz w:val="18"/>
                <w:szCs w:val="18"/>
              </w:rPr>
              <w:t>1.ª</w:t>
            </w:r>
          </w:p>
        </w:tc>
        <w:tc>
          <w:tcPr>
            <w:tcW w:w="708" w:type="dxa"/>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rPr>
              <w:t>2.ª</w:t>
            </w:r>
          </w:p>
        </w:tc>
        <w:tc>
          <w:tcPr>
            <w:tcW w:w="851" w:type="dxa"/>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rPr>
              <w:t>3.ª</w:t>
            </w:r>
          </w:p>
        </w:tc>
        <w:tc>
          <w:tcPr>
            <w:tcW w:w="850" w:type="dxa"/>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rPr>
              <w:t>4.ª</w:t>
            </w:r>
          </w:p>
        </w:tc>
        <w:tc>
          <w:tcPr>
            <w:tcW w:w="851" w:type="dxa"/>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rPr>
              <w:t>5.ª</w:t>
            </w:r>
          </w:p>
        </w:tc>
        <w:tc>
          <w:tcPr>
            <w:tcW w:w="850" w:type="dxa"/>
            <w:vAlign w:val="center"/>
          </w:tcPr>
          <w:p w:rsidR="00C83DF2" w:rsidRPr="004C3D3D" w:rsidRDefault="00C83DF2" w:rsidP="00135498">
            <w:pPr>
              <w:keepNext/>
              <w:spacing w:before="60" w:after="60"/>
              <w:ind w:left="180"/>
              <w:jc w:val="center"/>
              <w:rPr>
                <w:rFonts w:ascii="Arial" w:hAnsi="Arial" w:cs="Arial"/>
                <w:b/>
                <w:bCs/>
                <w:sz w:val="18"/>
                <w:szCs w:val="18"/>
              </w:rPr>
            </w:pPr>
            <w:r w:rsidRPr="004C3D3D">
              <w:rPr>
                <w:rFonts w:ascii="Arial" w:hAnsi="Arial" w:cs="Arial"/>
                <w:b/>
                <w:bCs/>
                <w:sz w:val="18"/>
                <w:szCs w:val="18"/>
              </w:rPr>
              <w:t>6.ª</w:t>
            </w:r>
          </w:p>
        </w:tc>
        <w:tc>
          <w:tcPr>
            <w:tcW w:w="709" w:type="dxa"/>
            <w:vAlign w:val="center"/>
          </w:tcPr>
          <w:p w:rsidR="00C83DF2" w:rsidRPr="004C3D3D" w:rsidRDefault="00C83DF2" w:rsidP="00135498">
            <w:pPr>
              <w:keepNext/>
              <w:spacing w:before="60" w:after="60"/>
              <w:ind w:left="33"/>
              <w:jc w:val="center"/>
              <w:rPr>
                <w:rFonts w:ascii="Arial" w:hAnsi="Arial" w:cs="Arial"/>
                <w:b/>
                <w:bCs/>
                <w:sz w:val="18"/>
                <w:szCs w:val="18"/>
              </w:rPr>
            </w:pPr>
            <w:r w:rsidRPr="004C3D3D">
              <w:rPr>
                <w:rFonts w:ascii="Arial" w:hAnsi="Arial" w:cs="Arial"/>
                <w:b/>
                <w:bCs/>
                <w:sz w:val="18"/>
                <w:szCs w:val="18"/>
              </w:rPr>
              <w:t>7.ª</w:t>
            </w:r>
          </w:p>
        </w:tc>
        <w:tc>
          <w:tcPr>
            <w:tcW w:w="851" w:type="dxa"/>
            <w:vAlign w:val="center"/>
          </w:tcPr>
          <w:p w:rsidR="00C83DF2" w:rsidRPr="004C3D3D" w:rsidRDefault="00C83DF2" w:rsidP="00135498">
            <w:pPr>
              <w:keepNext/>
              <w:spacing w:before="60" w:after="60"/>
              <w:ind w:left="33"/>
              <w:jc w:val="center"/>
              <w:rPr>
                <w:rFonts w:ascii="Arial" w:hAnsi="Arial" w:cs="Arial"/>
                <w:b/>
                <w:bCs/>
                <w:sz w:val="18"/>
                <w:szCs w:val="18"/>
              </w:rPr>
            </w:pPr>
            <w:r w:rsidRPr="004C3D3D">
              <w:rPr>
                <w:rFonts w:ascii="Arial" w:hAnsi="Arial" w:cs="Arial"/>
                <w:b/>
                <w:bCs/>
                <w:sz w:val="18"/>
                <w:szCs w:val="18"/>
              </w:rPr>
              <w:t>8.ª</w:t>
            </w:r>
          </w:p>
        </w:tc>
        <w:tc>
          <w:tcPr>
            <w:tcW w:w="850" w:type="dxa"/>
            <w:vAlign w:val="center"/>
          </w:tcPr>
          <w:p w:rsidR="00C83DF2" w:rsidRPr="004C3D3D" w:rsidRDefault="00C83DF2" w:rsidP="00135498">
            <w:pPr>
              <w:keepNext/>
              <w:spacing w:before="60" w:after="60"/>
              <w:ind w:left="-68"/>
              <w:jc w:val="center"/>
              <w:rPr>
                <w:rFonts w:ascii="Arial" w:hAnsi="Arial" w:cs="Arial"/>
                <w:b/>
                <w:bCs/>
                <w:sz w:val="18"/>
                <w:szCs w:val="18"/>
              </w:rPr>
            </w:pPr>
            <w:r w:rsidRPr="004C3D3D">
              <w:rPr>
                <w:rFonts w:ascii="Arial" w:hAnsi="Arial" w:cs="Arial"/>
                <w:b/>
                <w:bCs/>
                <w:sz w:val="18"/>
                <w:szCs w:val="18"/>
              </w:rPr>
              <w:t>9.ª</w:t>
            </w:r>
          </w:p>
        </w:tc>
      </w:tr>
      <w:tr w:rsidR="003469B2" w:rsidRPr="004C3D3D" w:rsidTr="00616BF8">
        <w:tc>
          <w:tcPr>
            <w:tcW w:w="1559" w:type="dxa"/>
            <w:vAlign w:val="center"/>
          </w:tcPr>
          <w:p w:rsidR="00C83DF2" w:rsidRPr="00E505FE" w:rsidRDefault="00C83DF2" w:rsidP="00001A6A">
            <w:pPr>
              <w:keepNext/>
              <w:spacing w:before="60" w:after="60"/>
              <w:jc w:val="both"/>
              <w:rPr>
                <w:rFonts w:ascii="Arial" w:hAnsi="Arial" w:cs="Arial"/>
                <w:sz w:val="14"/>
                <w:szCs w:val="14"/>
              </w:rPr>
            </w:pPr>
            <w:r w:rsidRPr="00E505FE">
              <w:rPr>
                <w:rFonts w:ascii="Arial" w:hAnsi="Arial" w:cs="Arial"/>
                <w:sz w:val="14"/>
                <w:szCs w:val="14"/>
              </w:rPr>
              <w:t>Por cada metro lineal al año</w:t>
            </w:r>
            <w:r w:rsidR="00001A6A">
              <w:rPr>
                <w:rFonts w:ascii="Arial" w:hAnsi="Arial" w:cs="Arial"/>
                <w:sz w:val="14"/>
                <w:szCs w:val="14"/>
              </w:rPr>
              <w:t>………………..</w:t>
            </w:r>
            <w:r w:rsidR="00616BF8">
              <w:rPr>
                <w:rFonts w:ascii="Arial" w:hAnsi="Arial" w:cs="Arial"/>
                <w:sz w:val="14"/>
                <w:szCs w:val="14"/>
              </w:rPr>
              <w:t>.</w:t>
            </w:r>
          </w:p>
        </w:tc>
        <w:tc>
          <w:tcPr>
            <w:tcW w:w="851" w:type="dxa"/>
            <w:vAlign w:val="bottom"/>
          </w:tcPr>
          <w:p w:rsidR="00C83DF2" w:rsidRPr="004C3D3D" w:rsidRDefault="00C83DF2" w:rsidP="00616BF8">
            <w:pPr>
              <w:keepNext/>
              <w:spacing w:before="60" w:after="60"/>
              <w:ind w:left="-48"/>
              <w:jc w:val="center"/>
              <w:rPr>
                <w:rFonts w:ascii="Arial" w:hAnsi="Arial" w:cs="Arial"/>
                <w:bCs/>
                <w:sz w:val="18"/>
                <w:szCs w:val="18"/>
              </w:rPr>
            </w:pPr>
            <w:r w:rsidRPr="004C3D3D">
              <w:rPr>
                <w:rFonts w:ascii="Arial" w:hAnsi="Arial" w:cs="Arial"/>
                <w:sz w:val="16"/>
                <w:szCs w:val="16"/>
              </w:rPr>
              <w:t>97,66</w:t>
            </w:r>
          </w:p>
        </w:tc>
        <w:tc>
          <w:tcPr>
            <w:tcW w:w="708"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73,24</w:t>
            </w:r>
          </w:p>
        </w:tc>
        <w:tc>
          <w:tcPr>
            <w:tcW w:w="851"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54,93</w:t>
            </w:r>
          </w:p>
        </w:tc>
        <w:tc>
          <w:tcPr>
            <w:tcW w:w="850"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41,20</w:t>
            </w:r>
          </w:p>
        </w:tc>
        <w:tc>
          <w:tcPr>
            <w:tcW w:w="851"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30,90</w:t>
            </w:r>
          </w:p>
        </w:tc>
        <w:tc>
          <w:tcPr>
            <w:tcW w:w="850"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23,18</w:t>
            </w:r>
          </w:p>
        </w:tc>
        <w:tc>
          <w:tcPr>
            <w:tcW w:w="709" w:type="dxa"/>
            <w:vAlign w:val="bottom"/>
          </w:tcPr>
          <w:p w:rsidR="00C83DF2" w:rsidRPr="00616BF8" w:rsidRDefault="00C83DF2" w:rsidP="00616BF8">
            <w:pPr>
              <w:keepNext/>
              <w:spacing w:before="60" w:after="60"/>
              <w:ind w:left="-48"/>
              <w:jc w:val="center"/>
              <w:rPr>
                <w:rFonts w:ascii="Arial" w:hAnsi="Arial" w:cs="Arial"/>
                <w:sz w:val="16"/>
                <w:szCs w:val="16"/>
              </w:rPr>
            </w:pPr>
            <w:r w:rsidRPr="004C3D3D">
              <w:rPr>
                <w:rFonts w:ascii="Arial" w:hAnsi="Arial" w:cs="Arial"/>
                <w:sz w:val="16"/>
                <w:szCs w:val="16"/>
              </w:rPr>
              <w:t>17,38</w:t>
            </w:r>
          </w:p>
        </w:tc>
        <w:tc>
          <w:tcPr>
            <w:tcW w:w="851" w:type="dxa"/>
            <w:vAlign w:val="bottom"/>
          </w:tcPr>
          <w:p w:rsidR="00C83DF2" w:rsidRPr="00616BF8" w:rsidRDefault="00C83DF2" w:rsidP="00616BF8">
            <w:pPr>
              <w:keepNext/>
              <w:spacing w:before="60" w:after="60"/>
              <w:ind w:left="-48"/>
              <w:jc w:val="center"/>
              <w:rPr>
                <w:rFonts w:ascii="Arial" w:hAnsi="Arial" w:cs="Arial"/>
                <w:sz w:val="16"/>
                <w:szCs w:val="16"/>
              </w:rPr>
            </w:pPr>
            <w:r w:rsidRPr="00616BF8">
              <w:rPr>
                <w:rFonts w:ascii="Arial" w:hAnsi="Arial" w:cs="Arial"/>
                <w:sz w:val="16"/>
                <w:szCs w:val="16"/>
              </w:rPr>
              <w:t>13,04</w:t>
            </w:r>
          </w:p>
        </w:tc>
        <w:tc>
          <w:tcPr>
            <w:tcW w:w="850" w:type="dxa"/>
            <w:vAlign w:val="bottom"/>
          </w:tcPr>
          <w:p w:rsidR="00C83DF2" w:rsidRPr="00616BF8" w:rsidRDefault="00C83DF2" w:rsidP="00616BF8">
            <w:pPr>
              <w:keepNext/>
              <w:spacing w:before="60" w:after="60"/>
              <w:ind w:left="-48" w:right="-39"/>
              <w:jc w:val="center"/>
              <w:rPr>
                <w:rFonts w:ascii="Arial" w:hAnsi="Arial" w:cs="Arial"/>
                <w:sz w:val="16"/>
                <w:szCs w:val="16"/>
              </w:rPr>
            </w:pPr>
            <w:r w:rsidRPr="004C3D3D">
              <w:rPr>
                <w:rFonts w:ascii="Arial" w:hAnsi="Arial" w:cs="Arial"/>
                <w:sz w:val="16"/>
                <w:szCs w:val="16"/>
              </w:rPr>
              <w:t>9,78</w:t>
            </w:r>
          </w:p>
        </w:tc>
      </w:tr>
    </w:tbl>
    <w:p w:rsidR="00C83DF2" w:rsidRDefault="00C83DF2" w:rsidP="005E4EBA">
      <w:pPr>
        <w:ind w:left="709" w:firstLine="709"/>
        <w:jc w:val="both"/>
        <w:rPr>
          <w:rFonts w:ascii="Arial" w:eastAsia="Times New Roman" w:hAnsi="Arial" w:cs="Arial"/>
          <w:bCs/>
          <w:sz w:val="22"/>
          <w:szCs w:val="22"/>
          <w:lang w:val="es-ES"/>
        </w:rPr>
      </w:pPr>
    </w:p>
    <w:p w:rsidR="005E4EBA" w:rsidRDefault="00705EF3" w:rsidP="00705EF3">
      <w:pPr>
        <w:ind w:left="709" w:firstLine="709"/>
        <w:jc w:val="both"/>
        <w:rPr>
          <w:rFonts w:ascii="Arial" w:eastAsia="Times New Roman" w:hAnsi="Arial" w:cs="Arial"/>
          <w:bCs/>
          <w:sz w:val="22"/>
          <w:szCs w:val="22"/>
          <w:lang w:val="es-ES"/>
        </w:rPr>
      </w:pPr>
      <w:r w:rsidRPr="00705EF3">
        <w:rPr>
          <w:rFonts w:ascii="Arial" w:eastAsia="Times New Roman" w:hAnsi="Arial" w:cs="Arial"/>
          <w:bCs/>
          <w:sz w:val="22"/>
          <w:szCs w:val="22"/>
          <w:lang w:val="es-ES"/>
        </w:rPr>
        <w:t>La longitud del paso de vehículos, medida en metros lineales, vendrá determinada con sus dos primeros decimales.</w:t>
      </w:r>
    </w:p>
    <w:p w:rsid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t>A estos efectos, se entenderá por longitud del paso el número de metros lineales del hueco libre para la entrada y salida de vehículos, incrementado en un metro a cada lado o, en el caso de que exista rebaje de acera, el número de metros lineales del bordillo rebajado, si esta última medición fuese superior.</w:t>
      </w:r>
    </w:p>
    <w:p w:rsid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t>En los supuestos en que dos o más pasos contiguos de vehículos tengan una distancia entre ellos inferior a dos metros o compartan un único rebaje de acera, los metros lineales correspondientes a cada paso se determinarán proporcionalmente al hueco libre de cada uno respecto de la longitud total del rebaje de acera o, si es mayor, a la distancia entre el comienzo del hueco libre del primer paso y el final del hueco libre del último más un metro a cada lado.</w:t>
      </w:r>
    </w:p>
    <w:p w:rsid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t>En los pasos de vehículos sin rebaje de acera de las instalaciones de suministro de combustible para vehículos, la longitud total de los pasos existentes no podrá exceder, en ningún caso, de la que resulte de multiplicar el número de líneas o calles de aparatos surtidores, túnel de lavado u otros servicios similares por diez metros.</w:t>
      </w:r>
    </w:p>
    <w:p w:rsidR="00705EF3" w:rsidRDefault="00705EF3" w:rsidP="00705EF3">
      <w:pPr>
        <w:ind w:left="709" w:firstLine="709"/>
        <w:jc w:val="both"/>
        <w:rPr>
          <w:rFonts w:ascii="Arial" w:eastAsia="Times New Roman" w:hAnsi="Arial" w:cs="Arial"/>
          <w:bCs/>
          <w:sz w:val="22"/>
          <w:szCs w:val="22"/>
        </w:rPr>
      </w:pPr>
      <w:r>
        <w:rPr>
          <w:rFonts w:ascii="Arial" w:eastAsia="Times New Roman" w:hAnsi="Arial" w:cs="Arial"/>
          <w:bCs/>
          <w:sz w:val="22"/>
          <w:szCs w:val="22"/>
        </w:rPr>
        <w:t xml:space="preserve">3. </w:t>
      </w:r>
      <w:r w:rsidRPr="00705EF3">
        <w:rPr>
          <w:rFonts w:ascii="Arial" w:eastAsia="Times New Roman" w:hAnsi="Arial" w:cs="Arial"/>
          <w:bCs/>
          <w:sz w:val="22"/>
          <w:szCs w:val="22"/>
        </w:rPr>
        <w:t>Con carácter general, la variable de intensidad de uso cuantifica el uso que del paso de vehículos se lleva a cabo por cada metro cuadrado de superficie del garaje, aparcamiento o local a que se encuentra afecto dicho paso.</w:t>
      </w:r>
    </w:p>
    <w:p w:rsid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t>En aquellos garajes o aparcamientos en los que exista rotación, la variable de intensidad de uso tendrá en cuenta dicha circunstancia.</w:t>
      </w:r>
    </w:p>
    <w:p w:rsid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lastRenderedPageBreak/>
        <w:t>En todo caso, se considerará que las plazas de un garaje o aparcamiento son de rotación cuando puedan ser utilizadas alternativamente por distintas personas usuarias para estancias, con carácter general, de corta o media duración.</w:t>
      </w:r>
    </w:p>
    <w:p w:rsidR="00705EF3" w:rsidRPr="00705EF3" w:rsidRDefault="00705EF3" w:rsidP="00705EF3">
      <w:pPr>
        <w:ind w:left="709" w:firstLine="709"/>
        <w:jc w:val="both"/>
        <w:rPr>
          <w:rFonts w:ascii="Arial" w:eastAsia="Times New Roman" w:hAnsi="Arial" w:cs="Arial"/>
          <w:bCs/>
          <w:sz w:val="22"/>
          <w:szCs w:val="22"/>
        </w:rPr>
      </w:pPr>
      <w:r w:rsidRPr="00705EF3">
        <w:rPr>
          <w:rFonts w:ascii="Arial" w:eastAsia="Times New Roman" w:hAnsi="Arial" w:cs="Arial"/>
          <w:bCs/>
          <w:sz w:val="22"/>
          <w:szCs w:val="22"/>
        </w:rPr>
        <w:t>La variable de intensidad de uso será el resultado de multiplicar el importe que corresponda de los que se recogen en los cuadros siguientes, por la superficie del garaje, aparcamiento o local en metros cuadrados.</w:t>
      </w:r>
    </w:p>
    <w:p w:rsidR="00705EF3" w:rsidRDefault="00705EF3" w:rsidP="00705EF3">
      <w:pPr>
        <w:ind w:left="709" w:firstLine="709"/>
        <w:jc w:val="both"/>
        <w:rPr>
          <w:rFonts w:ascii="Arial" w:eastAsia="Times New Roman" w:hAnsi="Arial" w:cs="Arial"/>
          <w:bCs/>
          <w:sz w:val="22"/>
          <w:szCs w:val="22"/>
        </w:rPr>
      </w:pPr>
      <w:r>
        <w:rPr>
          <w:rFonts w:ascii="Arial" w:eastAsia="Times New Roman" w:hAnsi="Arial" w:cs="Arial"/>
          <w:bCs/>
          <w:sz w:val="22"/>
          <w:szCs w:val="22"/>
        </w:rPr>
        <w:t xml:space="preserve">a) </w:t>
      </w:r>
      <w:r w:rsidR="00616BF8" w:rsidRPr="00616BF8">
        <w:rPr>
          <w:rFonts w:ascii="Arial" w:eastAsia="Times New Roman" w:hAnsi="Arial" w:cs="Arial"/>
          <w:bCs/>
          <w:sz w:val="22"/>
          <w:szCs w:val="22"/>
        </w:rPr>
        <w:t xml:space="preserve">Garajes y aparcamientos sin rotación. </w:t>
      </w:r>
      <w:r w:rsidR="00001A6A">
        <w:rPr>
          <w:rFonts w:ascii="Arial" w:hAnsi="Arial" w:cs="Arial"/>
          <w:szCs w:val="24"/>
        </w:rPr>
        <w:t>Los importes que se establecen a continuación serán de aplicación a  los pasos de vehículos de garajes o aparcamientos residenciales y a aquellos en los que el régimen de utilización característico de las plazas no sea el transitorio o de rotación</w:t>
      </w:r>
      <w:r w:rsidR="00616BF8" w:rsidRPr="00616BF8">
        <w:rPr>
          <w:rFonts w:ascii="Arial" w:eastAsia="Times New Roman" w:hAnsi="Arial" w:cs="Arial"/>
          <w:bCs/>
          <w:sz w:val="22"/>
          <w:szCs w:val="22"/>
        </w:rPr>
        <w:t>:</w:t>
      </w:r>
      <w:r w:rsidR="00001A6A">
        <w:rPr>
          <w:rFonts w:ascii="Arial" w:eastAsia="Times New Roman" w:hAnsi="Arial" w:cs="Arial"/>
          <w:bCs/>
          <w:sz w:val="22"/>
          <w:szCs w:val="22"/>
        </w:rPr>
        <w:t xml:space="preserve"> </w:t>
      </w:r>
    </w:p>
    <w:p w:rsidR="00705EF3" w:rsidRDefault="00705EF3" w:rsidP="00705EF3">
      <w:pPr>
        <w:ind w:left="709" w:firstLine="709"/>
        <w:jc w:val="both"/>
        <w:rPr>
          <w:rFonts w:ascii="Arial" w:eastAsia="Times New Roman" w:hAnsi="Arial" w:cs="Arial"/>
          <w:bCs/>
          <w:sz w:val="22"/>
          <w:szCs w:val="22"/>
        </w:rPr>
      </w:pPr>
    </w:p>
    <w:tbl>
      <w:tblPr>
        <w:tblStyle w:val="Tablaconcuadrcula"/>
        <w:tblW w:w="878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851"/>
        <w:gridCol w:w="708"/>
        <w:gridCol w:w="709"/>
        <w:gridCol w:w="709"/>
        <w:gridCol w:w="850"/>
        <w:gridCol w:w="851"/>
        <w:gridCol w:w="709"/>
        <w:gridCol w:w="708"/>
        <w:gridCol w:w="709"/>
      </w:tblGrid>
      <w:tr w:rsidR="00705EF3" w:rsidRPr="004C3D3D" w:rsidTr="00705EF3">
        <w:tc>
          <w:tcPr>
            <w:tcW w:w="1984" w:type="dxa"/>
          </w:tcPr>
          <w:p w:rsidR="00705EF3" w:rsidRPr="004C3D3D" w:rsidRDefault="00705EF3" w:rsidP="00135498">
            <w:pPr>
              <w:keepNext/>
              <w:spacing w:before="60" w:after="60"/>
              <w:ind w:left="180"/>
              <w:jc w:val="center"/>
              <w:rPr>
                <w:rFonts w:ascii="Arial" w:hAnsi="Arial" w:cs="Arial"/>
                <w:b/>
                <w:bCs/>
                <w:sz w:val="18"/>
                <w:szCs w:val="18"/>
                <w:u w:val="single"/>
              </w:rPr>
            </w:pPr>
          </w:p>
        </w:tc>
        <w:tc>
          <w:tcPr>
            <w:tcW w:w="6804" w:type="dxa"/>
            <w:gridSpan w:val="9"/>
          </w:tcPr>
          <w:p w:rsidR="00705EF3" w:rsidRPr="004C3D3D" w:rsidRDefault="00705EF3" w:rsidP="00135498">
            <w:pPr>
              <w:keepNext/>
              <w:spacing w:before="60" w:after="60"/>
              <w:ind w:left="180"/>
              <w:jc w:val="center"/>
              <w:rPr>
                <w:rFonts w:ascii="Arial" w:hAnsi="Arial" w:cs="Arial"/>
                <w:b/>
                <w:bCs/>
                <w:sz w:val="18"/>
                <w:szCs w:val="18"/>
              </w:rPr>
            </w:pPr>
            <w:r w:rsidRPr="004C3D3D">
              <w:rPr>
                <w:rFonts w:ascii="Arial" w:hAnsi="Arial" w:cs="Arial"/>
                <w:b/>
                <w:bCs/>
                <w:sz w:val="18"/>
                <w:szCs w:val="18"/>
                <w:u w:val="single"/>
              </w:rPr>
              <w:t>Categoría de las calles</w:t>
            </w:r>
            <w:r w:rsidRPr="004C3D3D">
              <w:rPr>
                <w:rFonts w:ascii="Arial" w:hAnsi="Arial" w:cs="Arial"/>
                <w:b/>
                <w:bCs/>
                <w:sz w:val="18"/>
                <w:szCs w:val="18"/>
              </w:rPr>
              <w:t xml:space="preserve"> </w:t>
            </w:r>
          </w:p>
        </w:tc>
      </w:tr>
      <w:tr w:rsidR="00705EF3" w:rsidRPr="004C3D3D" w:rsidTr="000446D2">
        <w:tc>
          <w:tcPr>
            <w:tcW w:w="1984" w:type="dxa"/>
          </w:tcPr>
          <w:p w:rsidR="00705EF3" w:rsidRPr="004C3D3D" w:rsidRDefault="00705EF3" w:rsidP="00135498">
            <w:pPr>
              <w:keepNext/>
              <w:spacing w:before="60" w:after="60"/>
              <w:ind w:left="180"/>
              <w:jc w:val="center"/>
              <w:rPr>
                <w:rFonts w:ascii="Arial" w:hAnsi="Arial" w:cs="Arial"/>
                <w:b/>
                <w:bCs/>
                <w:sz w:val="18"/>
                <w:szCs w:val="18"/>
              </w:rPr>
            </w:pPr>
          </w:p>
        </w:tc>
        <w:tc>
          <w:tcPr>
            <w:tcW w:w="851" w:type="dxa"/>
          </w:tcPr>
          <w:p w:rsidR="00705EF3" w:rsidRPr="004C3D3D" w:rsidRDefault="00705EF3" w:rsidP="00135498">
            <w:pPr>
              <w:keepNext/>
              <w:spacing w:before="60" w:after="60"/>
              <w:jc w:val="center"/>
              <w:rPr>
                <w:rFonts w:ascii="Arial" w:hAnsi="Arial" w:cs="Arial"/>
                <w:b/>
                <w:bCs/>
                <w:sz w:val="18"/>
                <w:szCs w:val="18"/>
              </w:rPr>
            </w:pPr>
            <w:r w:rsidRPr="004C3D3D">
              <w:rPr>
                <w:rFonts w:ascii="Arial" w:hAnsi="Arial" w:cs="Arial"/>
                <w:b/>
                <w:bCs/>
                <w:sz w:val="18"/>
                <w:szCs w:val="18"/>
              </w:rPr>
              <w:t>1.ª</w:t>
            </w:r>
          </w:p>
        </w:tc>
        <w:tc>
          <w:tcPr>
            <w:tcW w:w="708"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2.ª</w:t>
            </w:r>
          </w:p>
        </w:tc>
        <w:tc>
          <w:tcPr>
            <w:tcW w:w="709"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3.ª</w:t>
            </w:r>
          </w:p>
        </w:tc>
        <w:tc>
          <w:tcPr>
            <w:tcW w:w="709" w:type="dxa"/>
          </w:tcPr>
          <w:p w:rsidR="00705EF3" w:rsidRPr="004C3D3D" w:rsidRDefault="00705EF3" w:rsidP="00135498">
            <w:pPr>
              <w:keepNext/>
              <w:spacing w:before="60" w:after="60"/>
              <w:jc w:val="center"/>
              <w:rPr>
                <w:rFonts w:ascii="Arial" w:hAnsi="Arial" w:cs="Arial"/>
                <w:b/>
                <w:bCs/>
                <w:sz w:val="18"/>
                <w:szCs w:val="18"/>
              </w:rPr>
            </w:pPr>
            <w:r w:rsidRPr="004C3D3D">
              <w:rPr>
                <w:rFonts w:ascii="Arial" w:hAnsi="Arial" w:cs="Arial"/>
                <w:b/>
                <w:bCs/>
                <w:sz w:val="18"/>
                <w:szCs w:val="18"/>
              </w:rPr>
              <w:t>4.ª</w:t>
            </w:r>
          </w:p>
        </w:tc>
        <w:tc>
          <w:tcPr>
            <w:tcW w:w="850"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5.ª</w:t>
            </w:r>
          </w:p>
        </w:tc>
        <w:tc>
          <w:tcPr>
            <w:tcW w:w="851"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6.ª</w:t>
            </w:r>
          </w:p>
        </w:tc>
        <w:tc>
          <w:tcPr>
            <w:tcW w:w="709" w:type="dxa"/>
          </w:tcPr>
          <w:p w:rsidR="00705EF3" w:rsidRPr="004C3D3D" w:rsidRDefault="00705EF3" w:rsidP="000446D2">
            <w:pPr>
              <w:keepNext/>
              <w:spacing w:before="60" w:after="60"/>
              <w:ind w:left="34"/>
              <w:jc w:val="center"/>
              <w:rPr>
                <w:rFonts w:ascii="Arial" w:hAnsi="Arial" w:cs="Arial"/>
                <w:b/>
                <w:bCs/>
                <w:sz w:val="18"/>
                <w:szCs w:val="18"/>
              </w:rPr>
            </w:pPr>
            <w:r w:rsidRPr="004C3D3D">
              <w:rPr>
                <w:rFonts w:ascii="Arial" w:hAnsi="Arial" w:cs="Arial"/>
                <w:b/>
                <w:bCs/>
                <w:sz w:val="18"/>
                <w:szCs w:val="18"/>
              </w:rPr>
              <w:t>7.ª</w:t>
            </w:r>
          </w:p>
        </w:tc>
        <w:tc>
          <w:tcPr>
            <w:tcW w:w="708" w:type="dxa"/>
            <w:vAlign w:val="center"/>
          </w:tcPr>
          <w:p w:rsidR="00705EF3" w:rsidRPr="004C3D3D" w:rsidRDefault="000446D2" w:rsidP="000446D2">
            <w:pPr>
              <w:keepNext/>
              <w:spacing w:before="60" w:after="60"/>
              <w:ind w:left="-392"/>
              <w:jc w:val="center"/>
              <w:rPr>
                <w:rFonts w:ascii="Arial" w:hAnsi="Arial" w:cs="Arial"/>
                <w:b/>
                <w:bCs/>
                <w:sz w:val="18"/>
                <w:szCs w:val="18"/>
              </w:rPr>
            </w:pPr>
            <w:r>
              <w:rPr>
                <w:rFonts w:ascii="Arial" w:hAnsi="Arial" w:cs="Arial"/>
                <w:b/>
                <w:bCs/>
                <w:sz w:val="18"/>
                <w:szCs w:val="18"/>
              </w:rPr>
              <w:t xml:space="preserve">       </w:t>
            </w:r>
            <w:r w:rsidR="00705EF3" w:rsidRPr="004C3D3D">
              <w:rPr>
                <w:rFonts w:ascii="Arial" w:hAnsi="Arial" w:cs="Arial"/>
                <w:b/>
                <w:bCs/>
                <w:sz w:val="18"/>
                <w:szCs w:val="18"/>
              </w:rPr>
              <w:t>8.ª</w:t>
            </w:r>
          </w:p>
        </w:tc>
        <w:tc>
          <w:tcPr>
            <w:tcW w:w="709" w:type="dxa"/>
          </w:tcPr>
          <w:p w:rsidR="00705EF3" w:rsidRPr="004C3D3D" w:rsidRDefault="00705EF3" w:rsidP="00135498">
            <w:pPr>
              <w:keepNext/>
              <w:spacing w:before="60" w:after="60"/>
              <w:ind w:left="-68"/>
              <w:jc w:val="center"/>
              <w:rPr>
                <w:rFonts w:ascii="Arial" w:hAnsi="Arial" w:cs="Arial"/>
                <w:b/>
                <w:bCs/>
                <w:sz w:val="18"/>
                <w:szCs w:val="18"/>
              </w:rPr>
            </w:pPr>
            <w:r w:rsidRPr="004C3D3D">
              <w:rPr>
                <w:rFonts w:ascii="Arial" w:hAnsi="Arial" w:cs="Arial"/>
                <w:b/>
                <w:bCs/>
                <w:sz w:val="18"/>
                <w:szCs w:val="18"/>
              </w:rPr>
              <w:t>9.ª</w:t>
            </w:r>
          </w:p>
        </w:tc>
      </w:tr>
      <w:tr w:rsidR="000446D2" w:rsidRPr="004C3D3D" w:rsidTr="000446D2">
        <w:tc>
          <w:tcPr>
            <w:tcW w:w="1984" w:type="dxa"/>
          </w:tcPr>
          <w:p w:rsidR="000446D2" w:rsidRPr="00E505FE" w:rsidRDefault="000446D2" w:rsidP="000446D2">
            <w:pPr>
              <w:keepNext/>
              <w:spacing w:before="60" w:after="60"/>
              <w:jc w:val="both"/>
              <w:rPr>
                <w:rFonts w:ascii="Arial" w:hAnsi="Arial" w:cs="Arial"/>
                <w:sz w:val="16"/>
                <w:szCs w:val="16"/>
                <w:vertAlign w:val="superscript"/>
              </w:rPr>
            </w:pPr>
            <w:r w:rsidRPr="00E505FE">
              <w:rPr>
                <w:rFonts w:ascii="Arial" w:hAnsi="Arial" w:cs="Arial"/>
                <w:sz w:val="16"/>
                <w:szCs w:val="16"/>
              </w:rPr>
              <w:t>Por cada metro cuadrado de superficie</w:t>
            </w:r>
            <w:r>
              <w:rPr>
                <w:rFonts w:ascii="Arial" w:hAnsi="Arial" w:cs="Arial"/>
                <w:sz w:val="16"/>
                <w:szCs w:val="16"/>
              </w:rPr>
              <w:t xml:space="preserve"> de garaje, aparcamiento o local,</w:t>
            </w:r>
            <w:r w:rsidRPr="00E505FE">
              <w:rPr>
                <w:rFonts w:ascii="Arial" w:hAnsi="Arial" w:cs="Arial"/>
                <w:sz w:val="16"/>
                <w:szCs w:val="16"/>
              </w:rPr>
              <w:t xml:space="preserve"> al año</w:t>
            </w:r>
            <w:r>
              <w:rPr>
                <w:rFonts w:ascii="Arial" w:hAnsi="Arial" w:cs="Arial"/>
                <w:sz w:val="16"/>
                <w:szCs w:val="16"/>
              </w:rPr>
              <w:t>……...……</w:t>
            </w:r>
          </w:p>
        </w:tc>
        <w:tc>
          <w:tcPr>
            <w:tcW w:w="851" w:type="dxa"/>
            <w:vAlign w:val="bottom"/>
          </w:tcPr>
          <w:p w:rsidR="000446D2" w:rsidRDefault="000446D2" w:rsidP="000446D2">
            <w:pPr>
              <w:jc w:val="center"/>
              <w:rPr>
                <w:rFonts w:ascii="Lato" w:hAnsi="Lato"/>
                <w:sz w:val="16"/>
                <w:szCs w:val="16"/>
                <w:lang w:val="es-ES"/>
              </w:rPr>
            </w:pPr>
            <w:r>
              <w:rPr>
                <w:rFonts w:ascii="Lato" w:hAnsi="Lato"/>
                <w:sz w:val="16"/>
                <w:szCs w:val="16"/>
              </w:rPr>
              <w:t>1,04 €</w:t>
            </w:r>
          </w:p>
        </w:tc>
        <w:tc>
          <w:tcPr>
            <w:tcW w:w="708" w:type="dxa"/>
            <w:vAlign w:val="bottom"/>
          </w:tcPr>
          <w:p w:rsidR="000446D2" w:rsidRDefault="000446D2" w:rsidP="000446D2">
            <w:pPr>
              <w:jc w:val="center"/>
              <w:rPr>
                <w:rFonts w:ascii="Lato" w:hAnsi="Lato"/>
                <w:sz w:val="16"/>
                <w:szCs w:val="16"/>
              </w:rPr>
            </w:pPr>
            <w:r>
              <w:rPr>
                <w:rFonts w:ascii="Lato" w:hAnsi="Lato"/>
                <w:sz w:val="16"/>
                <w:szCs w:val="16"/>
              </w:rPr>
              <w:t>0,78 €</w:t>
            </w:r>
          </w:p>
        </w:tc>
        <w:tc>
          <w:tcPr>
            <w:tcW w:w="709" w:type="dxa"/>
            <w:vAlign w:val="bottom"/>
          </w:tcPr>
          <w:p w:rsidR="000446D2" w:rsidRDefault="000446D2" w:rsidP="000446D2">
            <w:pPr>
              <w:jc w:val="center"/>
              <w:rPr>
                <w:rFonts w:ascii="Lato" w:hAnsi="Lato"/>
                <w:sz w:val="16"/>
                <w:szCs w:val="16"/>
              </w:rPr>
            </w:pPr>
            <w:r>
              <w:rPr>
                <w:rFonts w:ascii="Lato" w:hAnsi="Lato"/>
                <w:sz w:val="16"/>
                <w:szCs w:val="16"/>
              </w:rPr>
              <w:t>0,58 €</w:t>
            </w:r>
          </w:p>
        </w:tc>
        <w:tc>
          <w:tcPr>
            <w:tcW w:w="709" w:type="dxa"/>
            <w:vAlign w:val="bottom"/>
          </w:tcPr>
          <w:p w:rsidR="000446D2" w:rsidRDefault="000446D2" w:rsidP="000446D2">
            <w:pPr>
              <w:jc w:val="center"/>
              <w:rPr>
                <w:rFonts w:ascii="Lato" w:hAnsi="Lato"/>
                <w:sz w:val="16"/>
                <w:szCs w:val="16"/>
              </w:rPr>
            </w:pPr>
            <w:r>
              <w:rPr>
                <w:rFonts w:ascii="Lato" w:hAnsi="Lato"/>
                <w:sz w:val="16"/>
                <w:szCs w:val="16"/>
              </w:rPr>
              <w:t>0,44 €</w:t>
            </w:r>
          </w:p>
        </w:tc>
        <w:tc>
          <w:tcPr>
            <w:tcW w:w="850" w:type="dxa"/>
            <w:vAlign w:val="bottom"/>
          </w:tcPr>
          <w:p w:rsidR="000446D2" w:rsidRDefault="000446D2" w:rsidP="000446D2">
            <w:pPr>
              <w:jc w:val="center"/>
              <w:rPr>
                <w:rFonts w:ascii="Lato" w:hAnsi="Lato"/>
                <w:sz w:val="16"/>
                <w:szCs w:val="16"/>
              </w:rPr>
            </w:pPr>
            <w:r>
              <w:rPr>
                <w:rFonts w:ascii="Lato" w:hAnsi="Lato"/>
                <w:sz w:val="16"/>
                <w:szCs w:val="16"/>
              </w:rPr>
              <w:t>0,33 €</w:t>
            </w:r>
          </w:p>
        </w:tc>
        <w:tc>
          <w:tcPr>
            <w:tcW w:w="851" w:type="dxa"/>
            <w:vAlign w:val="bottom"/>
          </w:tcPr>
          <w:p w:rsidR="000446D2" w:rsidRDefault="000446D2" w:rsidP="000446D2">
            <w:pPr>
              <w:jc w:val="center"/>
              <w:rPr>
                <w:rFonts w:ascii="Lato" w:hAnsi="Lato"/>
                <w:sz w:val="16"/>
                <w:szCs w:val="16"/>
              </w:rPr>
            </w:pPr>
            <w:r>
              <w:rPr>
                <w:rFonts w:ascii="Lato" w:hAnsi="Lato"/>
                <w:sz w:val="16"/>
                <w:szCs w:val="16"/>
              </w:rPr>
              <w:t>0,25 €</w:t>
            </w:r>
          </w:p>
        </w:tc>
        <w:tc>
          <w:tcPr>
            <w:tcW w:w="709" w:type="dxa"/>
            <w:vAlign w:val="bottom"/>
          </w:tcPr>
          <w:p w:rsidR="000446D2" w:rsidRDefault="000446D2" w:rsidP="000446D2">
            <w:pPr>
              <w:jc w:val="center"/>
              <w:rPr>
                <w:rFonts w:ascii="Lato" w:hAnsi="Lato"/>
                <w:sz w:val="16"/>
                <w:szCs w:val="16"/>
              </w:rPr>
            </w:pPr>
            <w:r>
              <w:rPr>
                <w:rFonts w:ascii="Lato" w:hAnsi="Lato"/>
                <w:sz w:val="16"/>
                <w:szCs w:val="16"/>
              </w:rPr>
              <w:t>0,18 €</w:t>
            </w:r>
          </w:p>
        </w:tc>
        <w:tc>
          <w:tcPr>
            <w:tcW w:w="708" w:type="dxa"/>
            <w:vAlign w:val="bottom"/>
          </w:tcPr>
          <w:p w:rsidR="000446D2" w:rsidRDefault="000446D2" w:rsidP="000446D2">
            <w:pPr>
              <w:jc w:val="center"/>
              <w:rPr>
                <w:rFonts w:ascii="Lato" w:hAnsi="Lato"/>
                <w:sz w:val="16"/>
                <w:szCs w:val="16"/>
              </w:rPr>
            </w:pPr>
            <w:r>
              <w:rPr>
                <w:rFonts w:ascii="Lato" w:hAnsi="Lato"/>
                <w:sz w:val="16"/>
                <w:szCs w:val="16"/>
              </w:rPr>
              <w:t>0,14 €</w:t>
            </w:r>
          </w:p>
        </w:tc>
        <w:tc>
          <w:tcPr>
            <w:tcW w:w="709" w:type="dxa"/>
            <w:vAlign w:val="bottom"/>
          </w:tcPr>
          <w:p w:rsidR="000446D2" w:rsidRDefault="000446D2" w:rsidP="000446D2">
            <w:pPr>
              <w:jc w:val="center"/>
              <w:rPr>
                <w:rFonts w:ascii="Lato" w:hAnsi="Lato"/>
                <w:sz w:val="16"/>
                <w:szCs w:val="16"/>
              </w:rPr>
            </w:pPr>
            <w:r>
              <w:rPr>
                <w:rFonts w:ascii="Lato" w:hAnsi="Lato"/>
                <w:sz w:val="16"/>
                <w:szCs w:val="16"/>
              </w:rPr>
              <w:t>0,10 €</w:t>
            </w:r>
          </w:p>
        </w:tc>
      </w:tr>
    </w:tbl>
    <w:p w:rsidR="00705EF3" w:rsidRDefault="00705EF3" w:rsidP="00705EF3">
      <w:pPr>
        <w:ind w:left="709" w:firstLine="709"/>
        <w:jc w:val="both"/>
        <w:rPr>
          <w:rFonts w:ascii="Arial" w:eastAsia="Times New Roman" w:hAnsi="Arial" w:cs="Arial"/>
          <w:bCs/>
          <w:sz w:val="22"/>
          <w:szCs w:val="22"/>
        </w:rPr>
      </w:pPr>
    </w:p>
    <w:p w:rsidR="00705EF3" w:rsidRDefault="00705EF3" w:rsidP="00705EF3">
      <w:pPr>
        <w:ind w:left="709" w:firstLine="709"/>
        <w:jc w:val="both"/>
        <w:rPr>
          <w:rFonts w:ascii="Arial" w:eastAsia="Times New Roman" w:hAnsi="Arial" w:cs="Arial"/>
          <w:bCs/>
          <w:sz w:val="22"/>
          <w:szCs w:val="22"/>
        </w:rPr>
      </w:pPr>
      <w:r>
        <w:rPr>
          <w:rFonts w:ascii="Arial" w:eastAsia="Times New Roman" w:hAnsi="Arial" w:cs="Arial"/>
          <w:bCs/>
          <w:sz w:val="22"/>
          <w:szCs w:val="22"/>
        </w:rPr>
        <w:t xml:space="preserve">b) </w:t>
      </w:r>
      <w:r w:rsidRPr="00705EF3">
        <w:rPr>
          <w:rFonts w:ascii="Arial" w:eastAsia="Times New Roman" w:hAnsi="Arial" w:cs="Arial"/>
          <w:bCs/>
          <w:sz w:val="22"/>
          <w:szCs w:val="22"/>
        </w:rPr>
        <w:t xml:space="preserve">Garajes y aparcamientos con rotación. </w:t>
      </w:r>
      <w:r w:rsidR="00001A6A">
        <w:rPr>
          <w:rFonts w:ascii="Arial" w:hAnsi="Arial" w:cs="Arial"/>
          <w:szCs w:val="24"/>
        </w:rPr>
        <w:t>Los importes que se establecen a continuación serán de aplicación a los pasos de vehículos de garajes o aparcamientos en los que el régimen de utilización característico de las plazas sea el de rotación</w:t>
      </w:r>
      <w:r w:rsidR="00616BF8" w:rsidRPr="00616BF8">
        <w:rPr>
          <w:rFonts w:ascii="Arial" w:eastAsia="Times New Roman" w:hAnsi="Arial" w:cs="Arial"/>
          <w:bCs/>
          <w:sz w:val="22"/>
          <w:szCs w:val="22"/>
        </w:rPr>
        <w:t>:</w:t>
      </w:r>
    </w:p>
    <w:p w:rsidR="00705EF3" w:rsidRDefault="00705EF3" w:rsidP="00705EF3">
      <w:pPr>
        <w:ind w:left="709" w:firstLine="709"/>
        <w:jc w:val="both"/>
        <w:rPr>
          <w:rFonts w:ascii="Arial" w:eastAsia="Times New Roman" w:hAnsi="Arial" w:cs="Arial"/>
          <w:bCs/>
          <w:sz w:val="22"/>
          <w:szCs w:val="22"/>
        </w:rPr>
      </w:pPr>
    </w:p>
    <w:tbl>
      <w:tblPr>
        <w:tblStyle w:val="Tablaconcuadrcula"/>
        <w:tblW w:w="878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851"/>
        <w:gridCol w:w="708"/>
        <w:gridCol w:w="709"/>
        <w:gridCol w:w="709"/>
        <w:gridCol w:w="850"/>
        <w:gridCol w:w="851"/>
        <w:gridCol w:w="709"/>
        <w:gridCol w:w="708"/>
        <w:gridCol w:w="709"/>
      </w:tblGrid>
      <w:tr w:rsidR="00705EF3" w:rsidRPr="004C3D3D" w:rsidTr="00135498">
        <w:tc>
          <w:tcPr>
            <w:tcW w:w="1984" w:type="dxa"/>
          </w:tcPr>
          <w:p w:rsidR="00705EF3" w:rsidRPr="004C3D3D" w:rsidRDefault="00705EF3" w:rsidP="00135498">
            <w:pPr>
              <w:keepNext/>
              <w:spacing w:before="60" w:after="60"/>
              <w:ind w:left="180"/>
              <w:jc w:val="center"/>
              <w:rPr>
                <w:rFonts w:ascii="Arial" w:hAnsi="Arial" w:cs="Arial"/>
                <w:b/>
                <w:bCs/>
                <w:sz w:val="18"/>
                <w:szCs w:val="18"/>
                <w:u w:val="single"/>
              </w:rPr>
            </w:pPr>
          </w:p>
        </w:tc>
        <w:tc>
          <w:tcPr>
            <w:tcW w:w="6804" w:type="dxa"/>
            <w:gridSpan w:val="9"/>
          </w:tcPr>
          <w:p w:rsidR="00705EF3" w:rsidRPr="004C3D3D" w:rsidRDefault="00705EF3" w:rsidP="00135498">
            <w:pPr>
              <w:keepNext/>
              <w:spacing w:before="60" w:after="60"/>
              <w:ind w:left="180"/>
              <w:jc w:val="center"/>
              <w:rPr>
                <w:rFonts w:ascii="Arial" w:hAnsi="Arial" w:cs="Arial"/>
                <w:b/>
                <w:bCs/>
                <w:sz w:val="18"/>
                <w:szCs w:val="18"/>
              </w:rPr>
            </w:pPr>
            <w:r w:rsidRPr="004C3D3D">
              <w:rPr>
                <w:rFonts w:ascii="Arial" w:hAnsi="Arial" w:cs="Arial"/>
                <w:b/>
                <w:bCs/>
                <w:sz w:val="18"/>
                <w:szCs w:val="18"/>
                <w:u w:val="single"/>
              </w:rPr>
              <w:t>Categoría de las calles</w:t>
            </w:r>
            <w:r w:rsidRPr="004C3D3D">
              <w:rPr>
                <w:rFonts w:ascii="Arial" w:hAnsi="Arial" w:cs="Arial"/>
                <w:b/>
                <w:bCs/>
                <w:sz w:val="18"/>
                <w:szCs w:val="18"/>
              </w:rPr>
              <w:t xml:space="preserve"> </w:t>
            </w:r>
          </w:p>
        </w:tc>
      </w:tr>
      <w:tr w:rsidR="00705EF3" w:rsidRPr="004C3D3D" w:rsidTr="00135498">
        <w:tc>
          <w:tcPr>
            <w:tcW w:w="1984" w:type="dxa"/>
          </w:tcPr>
          <w:p w:rsidR="00705EF3" w:rsidRPr="004C3D3D" w:rsidRDefault="00705EF3" w:rsidP="00135498">
            <w:pPr>
              <w:keepNext/>
              <w:spacing w:before="60" w:after="60"/>
              <w:ind w:left="180"/>
              <w:jc w:val="center"/>
              <w:rPr>
                <w:rFonts w:ascii="Arial" w:hAnsi="Arial" w:cs="Arial"/>
                <w:b/>
                <w:bCs/>
                <w:sz w:val="18"/>
                <w:szCs w:val="18"/>
              </w:rPr>
            </w:pPr>
          </w:p>
        </w:tc>
        <w:tc>
          <w:tcPr>
            <w:tcW w:w="851" w:type="dxa"/>
          </w:tcPr>
          <w:p w:rsidR="00705EF3" w:rsidRPr="004C3D3D" w:rsidRDefault="00705EF3" w:rsidP="00135498">
            <w:pPr>
              <w:keepNext/>
              <w:spacing w:before="60" w:after="60"/>
              <w:jc w:val="center"/>
              <w:rPr>
                <w:rFonts w:ascii="Arial" w:hAnsi="Arial" w:cs="Arial"/>
                <w:b/>
                <w:bCs/>
                <w:sz w:val="18"/>
                <w:szCs w:val="18"/>
              </w:rPr>
            </w:pPr>
            <w:r w:rsidRPr="004C3D3D">
              <w:rPr>
                <w:rFonts w:ascii="Arial" w:hAnsi="Arial" w:cs="Arial"/>
                <w:b/>
                <w:bCs/>
                <w:sz w:val="18"/>
                <w:szCs w:val="18"/>
              </w:rPr>
              <w:t>1.ª</w:t>
            </w:r>
          </w:p>
        </w:tc>
        <w:tc>
          <w:tcPr>
            <w:tcW w:w="708"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2.ª</w:t>
            </w:r>
          </w:p>
        </w:tc>
        <w:tc>
          <w:tcPr>
            <w:tcW w:w="709"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3.ª</w:t>
            </w:r>
          </w:p>
        </w:tc>
        <w:tc>
          <w:tcPr>
            <w:tcW w:w="709" w:type="dxa"/>
          </w:tcPr>
          <w:p w:rsidR="00705EF3" w:rsidRPr="004C3D3D" w:rsidRDefault="00705EF3" w:rsidP="00135498">
            <w:pPr>
              <w:keepNext/>
              <w:spacing w:before="60" w:after="60"/>
              <w:jc w:val="center"/>
              <w:rPr>
                <w:rFonts w:ascii="Arial" w:hAnsi="Arial" w:cs="Arial"/>
                <w:b/>
                <w:bCs/>
                <w:sz w:val="18"/>
                <w:szCs w:val="18"/>
              </w:rPr>
            </w:pPr>
            <w:r w:rsidRPr="004C3D3D">
              <w:rPr>
                <w:rFonts w:ascii="Arial" w:hAnsi="Arial" w:cs="Arial"/>
                <w:b/>
                <w:bCs/>
                <w:sz w:val="18"/>
                <w:szCs w:val="18"/>
              </w:rPr>
              <w:t>4.ª</w:t>
            </w:r>
          </w:p>
        </w:tc>
        <w:tc>
          <w:tcPr>
            <w:tcW w:w="850"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5.ª</w:t>
            </w:r>
          </w:p>
        </w:tc>
        <w:tc>
          <w:tcPr>
            <w:tcW w:w="851" w:type="dxa"/>
          </w:tcPr>
          <w:p w:rsidR="00705EF3" w:rsidRPr="004C3D3D" w:rsidRDefault="00705EF3" w:rsidP="00135498">
            <w:pPr>
              <w:keepNext/>
              <w:spacing w:before="60" w:after="60"/>
              <w:ind w:left="34"/>
              <w:jc w:val="center"/>
              <w:rPr>
                <w:rFonts w:ascii="Arial" w:hAnsi="Arial" w:cs="Arial"/>
                <w:b/>
                <w:bCs/>
                <w:sz w:val="18"/>
                <w:szCs w:val="18"/>
              </w:rPr>
            </w:pPr>
            <w:r w:rsidRPr="004C3D3D">
              <w:rPr>
                <w:rFonts w:ascii="Arial" w:hAnsi="Arial" w:cs="Arial"/>
                <w:b/>
                <w:bCs/>
                <w:sz w:val="18"/>
                <w:szCs w:val="18"/>
              </w:rPr>
              <w:t>6.ª</w:t>
            </w:r>
          </w:p>
        </w:tc>
        <w:tc>
          <w:tcPr>
            <w:tcW w:w="709" w:type="dxa"/>
          </w:tcPr>
          <w:p w:rsidR="00705EF3" w:rsidRPr="004C3D3D" w:rsidRDefault="00705EF3" w:rsidP="000446D2">
            <w:pPr>
              <w:keepNext/>
              <w:spacing w:before="60" w:after="60"/>
              <w:jc w:val="center"/>
              <w:rPr>
                <w:rFonts w:ascii="Arial" w:hAnsi="Arial" w:cs="Arial"/>
                <w:b/>
                <w:bCs/>
                <w:sz w:val="18"/>
                <w:szCs w:val="18"/>
              </w:rPr>
            </w:pPr>
            <w:r w:rsidRPr="004C3D3D">
              <w:rPr>
                <w:rFonts w:ascii="Arial" w:hAnsi="Arial" w:cs="Arial"/>
                <w:b/>
                <w:bCs/>
                <w:sz w:val="18"/>
                <w:szCs w:val="18"/>
              </w:rPr>
              <w:t>7.ª</w:t>
            </w:r>
          </w:p>
        </w:tc>
        <w:tc>
          <w:tcPr>
            <w:tcW w:w="708" w:type="dxa"/>
          </w:tcPr>
          <w:p w:rsidR="00705EF3" w:rsidRPr="004C3D3D" w:rsidRDefault="00705EF3" w:rsidP="00135498">
            <w:pPr>
              <w:keepNext/>
              <w:spacing w:before="60" w:after="60"/>
              <w:ind w:left="-250" w:firstLine="108"/>
              <w:jc w:val="center"/>
              <w:rPr>
                <w:rFonts w:ascii="Arial" w:hAnsi="Arial" w:cs="Arial"/>
                <w:b/>
                <w:bCs/>
                <w:sz w:val="18"/>
                <w:szCs w:val="18"/>
              </w:rPr>
            </w:pPr>
            <w:r w:rsidRPr="004C3D3D">
              <w:rPr>
                <w:rFonts w:ascii="Arial" w:hAnsi="Arial" w:cs="Arial"/>
                <w:b/>
                <w:bCs/>
                <w:sz w:val="18"/>
                <w:szCs w:val="18"/>
              </w:rPr>
              <w:t>8.ª</w:t>
            </w:r>
          </w:p>
        </w:tc>
        <w:tc>
          <w:tcPr>
            <w:tcW w:w="709" w:type="dxa"/>
          </w:tcPr>
          <w:p w:rsidR="00705EF3" w:rsidRPr="004C3D3D" w:rsidRDefault="00705EF3" w:rsidP="00135498">
            <w:pPr>
              <w:keepNext/>
              <w:spacing w:before="60" w:after="60"/>
              <w:ind w:left="-68"/>
              <w:jc w:val="center"/>
              <w:rPr>
                <w:rFonts w:ascii="Arial" w:hAnsi="Arial" w:cs="Arial"/>
                <w:b/>
                <w:bCs/>
                <w:sz w:val="18"/>
                <w:szCs w:val="18"/>
              </w:rPr>
            </w:pPr>
            <w:r w:rsidRPr="004C3D3D">
              <w:rPr>
                <w:rFonts w:ascii="Arial" w:hAnsi="Arial" w:cs="Arial"/>
                <w:b/>
                <w:bCs/>
                <w:sz w:val="18"/>
                <w:szCs w:val="18"/>
              </w:rPr>
              <w:t>9.ª</w:t>
            </w:r>
          </w:p>
        </w:tc>
      </w:tr>
      <w:tr w:rsidR="000446D2" w:rsidRPr="004C3D3D" w:rsidTr="000446D2">
        <w:tc>
          <w:tcPr>
            <w:tcW w:w="1984" w:type="dxa"/>
          </w:tcPr>
          <w:p w:rsidR="000446D2" w:rsidRPr="00E505FE" w:rsidRDefault="000446D2" w:rsidP="000446D2">
            <w:pPr>
              <w:keepNext/>
              <w:spacing w:before="60" w:after="60"/>
              <w:jc w:val="both"/>
              <w:rPr>
                <w:rFonts w:ascii="Arial" w:hAnsi="Arial" w:cs="Arial"/>
                <w:sz w:val="16"/>
                <w:szCs w:val="16"/>
                <w:vertAlign w:val="superscript"/>
              </w:rPr>
            </w:pPr>
            <w:r w:rsidRPr="00E505FE">
              <w:rPr>
                <w:rFonts w:ascii="Arial" w:hAnsi="Arial" w:cs="Arial"/>
                <w:sz w:val="16"/>
                <w:szCs w:val="16"/>
              </w:rPr>
              <w:t>Por cada metro cuadrado de superficie</w:t>
            </w:r>
            <w:r>
              <w:rPr>
                <w:rFonts w:ascii="Arial" w:hAnsi="Arial" w:cs="Arial"/>
                <w:sz w:val="16"/>
                <w:szCs w:val="16"/>
              </w:rPr>
              <w:t xml:space="preserve"> de garaje, aparcamiento o local,</w:t>
            </w:r>
            <w:r w:rsidRPr="00E505FE">
              <w:rPr>
                <w:rFonts w:ascii="Arial" w:hAnsi="Arial" w:cs="Arial"/>
                <w:sz w:val="16"/>
                <w:szCs w:val="16"/>
              </w:rPr>
              <w:t xml:space="preserve"> al año</w:t>
            </w:r>
            <w:r>
              <w:rPr>
                <w:rFonts w:ascii="Arial" w:hAnsi="Arial" w:cs="Arial"/>
                <w:sz w:val="16"/>
                <w:szCs w:val="16"/>
              </w:rPr>
              <w:t>……………</w:t>
            </w:r>
          </w:p>
        </w:tc>
        <w:tc>
          <w:tcPr>
            <w:tcW w:w="851" w:type="dxa"/>
            <w:vAlign w:val="bottom"/>
          </w:tcPr>
          <w:p w:rsidR="000446D2" w:rsidRDefault="000446D2" w:rsidP="000446D2">
            <w:pPr>
              <w:spacing w:after="60"/>
              <w:jc w:val="center"/>
              <w:rPr>
                <w:rFonts w:ascii="Lato" w:hAnsi="Lato"/>
                <w:sz w:val="16"/>
                <w:szCs w:val="16"/>
                <w:lang w:val="es-ES"/>
              </w:rPr>
            </w:pPr>
            <w:r>
              <w:rPr>
                <w:rFonts w:ascii="Lato" w:hAnsi="Lato"/>
                <w:sz w:val="16"/>
                <w:szCs w:val="16"/>
              </w:rPr>
              <w:t>1,73 €</w:t>
            </w:r>
          </w:p>
        </w:tc>
        <w:tc>
          <w:tcPr>
            <w:tcW w:w="708" w:type="dxa"/>
            <w:vAlign w:val="bottom"/>
          </w:tcPr>
          <w:p w:rsidR="000446D2" w:rsidRDefault="000446D2" w:rsidP="000446D2">
            <w:pPr>
              <w:spacing w:after="60"/>
              <w:jc w:val="center"/>
              <w:rPr>
                <w:rFonts w:ascii="Lato" w:hAnsi="Lato"/>
                <w:sz w:val="16"/>
                <w:szCs w:val="16"/>
              </w:rPr>
            </w:pPr>
            <w:r>
              <w:rPr>
                <w:rFonts w:ascii="Lato" w:hAnsi="Lato"/>
                <w:sz w:val="16"/>
                <w:szCs w:val="16"/>
              </w:rPr>
              <w:t>1,30 €</w:t>
            </w:r>
          </w:p>
        </w:tc>
        <w:tc>
          <w:tcPr>
            <w:tcW w:w="709" w:type="dxa"/>
            <w:vAlign w:val="bottom"/>
          </w:tcPr>
          <w:p w:rsidR="000446D2" w:rsidRDefault="000446D2" w:rsidP="000446D2">
            <w:pPr>
              <w:spacing w:after="60"/>
              <w:jc w:val="center"/>
              <w:rPr>
                <w:rFonts w:ascii="Lato" w:hAnsi="Lato"/>
                <w:sz w:val="16"/>
                <w:szCs w:val="16"/>
              </w:rPr>
            </w:pPr>
            <w:r>
              <w:rPr>
                <w:rFonts w:ascii="Lato" w:hAnsi="Lato"/>
                <w:sz w:val="16"/>
                <w:szCs w:val="16"/>
              </w:rPr>
              <w:t>0,97 €</w:t>
            </w:r>
          </w:p>
        </w:tc>
        <w:tc>
          <w:tcPr>
            <w:tcW w:w="709" w:type="dxa"/>
            <w:vAlign w:val="bottom"/>
          </w:tcPr>
          <w:p w:rsidR="000446D2" w:rsidRDefault="000446D2" w:rsidP="000446D2">
            <w:pPr>
              <w:spacing w:after="60"/>
              <w:jc w:val="center"/>
              <w:rPr>
                <w:rFonts w:ascii="Lato" w:hAnsi="Lato"/>
                <w:sz w:val="16"/>
                <w:szCs w:val="16"/>
              </w:rPr>
            </w:pPr>
            <w:r>
              <w:rPr>
                <w:rFonts w:ascii="Lato" w:hAnsi="Lato"/>
                <w:sz w:val="16"/>
                <w:szCs w:val="16"/>
              </w:rPr>
              <w:t>0,73 €</w:t>
            </w:r>
          </w:p>
        </w:tc>
        <w:tc>
          <w:tcPr>
            <w:tcW w:w="850" w:type="dxa"/>
            <w:vAlign w:val="bottom"/>
          </w:tcPr>
          <w:p w:rsidR="000446D2" w:rsidRDefault="000446D2" w:rsidP="000446D2">
            <w:pPr>
              <w:spacing w:after="60"/>
              <w:jc w:val="center"/>
              <w:rPr>
                <w:rFonts w:ascii="Lato" w:hAnsi="Lato"/>
                <w:sz w:val="16"/>
                <w:szCs w:val="16"/>
              </w:rPr>
            </w:pPr>
            <w:r>
              <w:rPr>
                <w:rFonts w:ascii="Lato" w:hAnsi="Lato"/>
                <w:sz w:val="16"/>
                <w:szCs w:val="16"/>
              </w:rPr>
              <w:t>0,55 €</w:t>
            </w:r>
          </w:p>
        </w:tc>
        <w:tc>
          <w:tcPr>
            <w:tcW w:w="851" w:type="dxa"/>
            <w:vAlign w:val="bottom"/>
          </w:tcPr>
          <w:p w:rsidR="000446D2" w:rsidRDefault="000446D2" w:rsidP="000446D2">
            <w:pPr>
              <w:spacing w:after="60"/>
              <w:jc w:val="center"/>
              <w:rPr>
                <w:rFonts w:ascii="Lato" w:hAnsi="Lato"/>
                <w:sz w:val="16"/>
                <w:szCs w:val="16"/>
              </w:rPr>
            </w:pPr>
            <w:r>
              <w:rPr>
                <w:rFonts w:ascii="Lato" w:hAnsi="Lato"/>
                <w:sz w:val="16"/>
                <w:szCs w:val="16"/>
              </w:rPr>
              <w:t>0,41 €</w:t>
            </w:r>
          </w:p>
        </w:tc>
        <w:tc>
          <w:tcPr>
            <w:tcW w:w="709" w:type="dxa"/>
            <w:vAlign w:val="bottom"/>
          </w:tcPr>
          <w:p w:rsidR="000446D2" w:rsidRDefault="000446D2" w:rsidP="000446D2">
            <w:pPr>
              <w:spacing w:after="60"/>
              <w:jc w:val="center"/>
              <w:rPr>
                <w:rFonts w:ascii="Lato" w:hAnsi="Lato"/>
                <w:sz w:val="16"/>
                <w:szCs w:val="16"/>
              </w:rPr>
            </w:pPr>
            <w:r>
              <w:rPr>
                <w:rFonts w:ascii="Lato" w:hAnsi="Lato"/>
                <w:sz w:val="16"/>
                <w:szCs w:val="16"/>
              </w:rPr>
              <w:t>0,31 €</w:t>
            </w:r>
          </w:p>
        </w:tc>
        <w:tc>
          <w:tcPr>
            <w:tcW w:w="708" w:type="dxa"/>
            <w:vAlign w:val="bottom"/>
          </w:tcPr>
          <w:p w:rsidR="000446D2" w:rsidRDefault="000446D2" w:rsidP="000446D2">
            <w:pPr>
              <w:spacing w:after="60"/>
              <w:jc w:val="center"/>
              <w:rPr>
                <w:rFonts w:ascii="Lato" w:hAnsi="Lato"/>
                <w:sz w:val="16"/>
                <w:szCs w:val="16"/>
              </w:rPr>
            </w:pPr>
            <w:r>
              <w:rPr>
                <w:rFonts w:ascii="Lato" w:hAnsi="Lato"/>
                <w:sz w:val="16"/>
                <w:szCs w:val="16"/>
              </w:rPr>
              <w:t>0,23 €</w:t>
            </w:r>
          </w:p>
        </w:tc>
        <w:tc>
          <w:tcPr>
            <w:tcW w:w="709" w:type="dxa"/>
            <w:vAlign w:val="bottom"/>
          </w:tcPr>
          <w:p w:rsidR="000446D2" w:rsidRDefault="000446D2" w:rsidP="000446D2">
            <w:pPr>
              <w:spacing w:after="60"/>
              <w:jc w:val="center"/>
              <w:rPr>
                <w:rFonts w:ascii="Lato" w:hAnsi="Lato"/>
                <w:sz w:val="16"/>
                <w:szCs w:val="16"/>
              </w:rPr>
            </w:pPr>
            <w:r>
              <w:rPr>
                <w:rFonts w:ascii="Lato" w:hAnsi="Lato"/>
                <w:sz w:val="16"/>
                <w:szCs w:val="16"/>
              </w:rPr>
              <w:t>0,17 €</w:t>
            </w:r>
          </w:p>
        </w:tc>
      </w:tr>
    </w:tbl>
    <w:p w:rsidR="00705EF3" w:rsidRDefault="00705EF3" w:rsidP="00705EF3">
      <w:pPr>
        <w:ind w:left="709" w:firstLine="709"/>
        <w:jc w:val="both"/>
        <w:rPr>
          <w:rFonts w:ascii="Arial" w:eastAsia="Times New Roman" w:hAnsi="Arial" w:cs="Arial"/>
          <w:bCs/>
          <w:sz w:val="22"/>
          <w:szCs w:val="22"/>
        </w:rPr>
      </w:pPr>
    </w:p>
    <w:p w:rsidR="00CB381C" w:rsidRDefault="00CB381C" w:rsidP="00705EF3">
      <w:pPr>
        <w:ind w:left="709" w:firstLine="709"/>
        <w:jc w:val="both"/>
        <w:rPr>
          <w:rFonts w:ascii="Arial" w:eastAsia="Times New Roman" w:hAnsi="Arial" w:cs="Arial"/>
          <w:bCs/>
          <w:sz w:val="22"/>
          <w:szCs w:val="22"/>
        </w:rPr>
      </w:pPr>
      <w:r w:rsidRPr="00CB381C">
        <w:rPr>
          <w:rFonts w:ascii="Arial" w:eastAsia="Times New Roman" w:hAnsi="Arial" w:cs="Arial"/>
          <w:bCs/>
          <w:sz w:val="22"/>
          <w:szCs w:val="22"/>
        </w:rPr>
        <w:t>A los efectos anteriores, la superficie del garaje, aparcamiento o local a que está afecto el paso de vehículos será la que esté así establecida a efectos catastrales, y en su defecto, la que conste en la correspondiente licencia urbanística.</w:t>
      </w:r>
    </w:p>
    <w:p w:rsidR="00CB381C" w:rsidRPr="00705EF3" w:rsidRDefault="00CB381C" w:rsidP="00705EF3">
      <w:pPr>
        <w:ind w:left="709" w:firstLine="709"/>
        <w:jc w:val="both"/>
        <w:rPr>
          <w:rFonts w:ascii="Arial" w:eastAsia="Times New Roman" w:hAnsi="Arial" w:cs="Arial"/>
          <w:bCs/>
          <w:sz w:val="22"/>
          <w:szCs w:val="22"/>
        </w:rPr>
      </w:pPr>
      <w:r>
        <w:rPr>
          <w:rFonts w:ascii="Arial" w:eastAsia="Times New Roman" w:hAnsi="Arial" w:cs="Arial"/>
          <w:bCs/>
          <w:sz w:val="22"/>
          <w:szCs w:val="22"/>
        </w:rPr>
        <w:t xml:space="preserve">4. </w:t>
      </w:r>
      <w:r w:rsidRPr="00CB381C">
        <w:rPr>
          <w:rFonts w:ascii="Arial" w:eastAsia="Times New Roman" w:hAnsi="Arial" w:cs="Arial"/>
          <w:bCs/>
          <w:sz w:val="22"/>
          <w:szCs w:val="22"/>
        </w:rPr>
        <w:t>A aquellos inmuebles que por sus características urbanísticas específicas dispongan de pasos de vehículos destinados al acceso exclusivo de los servicios de emergencia no les será de aplicación la variable de intensidad de uso a que se refiere el apartado 3 anterior.</w:t>
      </w:r>
    </w:p>
    <w:p w:rsidR="007661C5" w:rsidRDefault="007661C5" w:rsidP="005E4EBA">
      <w:pPr>
        <w:ind w:left="709" w:firstLine="709"/>
        <w:jc w:val="both"/>
        <w:rPr>
          <w:rFonts w:ascii="Arial" w:eastAsia="Times New Roman" w:hAnsi="Arial" w:cs="Arial"/>
          <w:bCs/>
          <w:sz w:val="22"/>
          <w:szCs w:val="22"/>
          <w:lang w:val="es-ES"/>
        </w:rPr>
      </w:pPr>
      <w:r>
        <w:rPr>
          <w:rFonts w:ascii="Arial" w:eastAsia="Times New Roman" w:hAnsi="Arial" w:cs="Arial"/>
          <w:bCs/>
          <w:sz w:val="22"/>
          <w:szCs w:val="22"/>
          <w:lang w:val="es-ES"/>
        </w:rPr>
        <w:t>5.</w:t>
      </w:r>
      <w:r w:rsidRPr="007661C5">
        <w:rPr>
          <w:rFonts w:ascii="Arial" w:eastAsia="Times New Roman" w:hAnsi="Arial" w:cs="Arial"/>
          <w:bCs/>
          <w:sz w:val="22"/>
          <w:szCs w:val="22"/>
          <w:lang w:val="es-ES"/>
        </w:rPr>
        <w:t xml:space="preserve"> En los casos de inmuebles que dispongan de más de un paso de vehículos, la cuota se calculará aplicando las siguientes reglas: </w:t>
      </w:r>
    </w:p>
    <w:p w:rsidR="007661C5" w:rsidRPr="007661C5" w:rsidRDefault="007661C5" w:rsidP="007661C5">
      <w:pPr>
        <w:ind w:left="709" w:firstLine="709"/>
        <w:jc w:val="both"/>
        <w:rPr>
          <w:rFonts w:ascii="Arial" w:eastAsia="Times New Roman" w:hAnsi="Arial" w:cs="Arial"/>
          <w:bCs/>
          <w:sz w:val="22"/>
          <w:szCs w:val="22"/>
          <w:lang w:val="es-ES"/>
        </w:rPr>
      </w:pPr>
      <w:r>
        <w:rPr>
          <w:rFonts w:ascii="Arial" w:eastAsia="Times New Roman" w:hAnsi="Arial" w:cs="Arial"/>
          <w:bCs/>
          <w:sz w:val="22"/>
          <w:szCs w:val="22"/>
          <w:lang w:val="es-ES"/>
        </w:rPr>
        <w:t xml:space="preserve">a) </w:t>
      </w:r>
      <w:r w:rsidRPr="007661C5">
        <w:rPr>
          <w:rFonts w:ascii="Arial" w:eastAsia="Times New Roman" w:hAnsi="Arial" w:cs="Arial"/>
          <w:bCs/>
          <w:sz w:val="22"/>
          <w:szCs w:val="22"/>
          <w:lang w:val="es-ES"/>
        </w:rPr>
        <w:t>La variable de ocupación se calculará de manera independiente para cada paso de vehículos, y su importe final estará constituido por la suma de cada una de las cantidades resultantes.</w:t>
      </w:r>
    </w:p>
    <w:p w:rsidR="007661C5" w:rsidRPr="007661C5" w:rsidRDefault="007661C5" w:rsidP="007661C5">
      <w:pPr>
        <w:ind w:left="709" w:firstLine="709"/>
        <w:jc w:val="both"/>
        <w:rPr>
          <w:rFonts w:ascii="Arial" w:eastAsia="Times New Roman" w:hAnsi="Arial" w:cs="Arial"/>
          <w:bCs/>
          <w:sz w:val="22"/>
          <w:szCs w:val="22"/>
          <w:lang w:val="es-ES"/>
        </w:rPr>
      </w:pPr>
      <w:r>
        <w:rPr>
          <w:rFonts w:ascii="Arial" w:eastAsia="Times New Roman" w:hAnsi="Arial" w:cs="Arial"/>
          <w:bCs/>
          <w:sz w:val="22"/>
          <w:szCs w:val="22"/>
          <w:lang w:val="es-ES"/>
        </w:rPr>
        <w:t xml:space="preserve">b) </w:t>
      </w:r>
      <w:r w:rsidRPr="007661C5">
        <w:rPr>
          <w:rFonts w:ascii="Arial" w:eastAsia="Times New Roman" w:hAnsi="Arial" w:cs="Arial"/>
          <w:bCs/>
          <w:sz w:val="22"/>
          <w:szCs w:val="22"/>
          <w:lang w:val="es-ES"/>
        </w:rPr>
        <w:t xml:space="preserve">La variable de intensidad de uso será el que corresponda al paso de vehículos ubicado en la calle de mayor categoría de los que disponga el inmueble. </w:t>
      </w:r>
    </w:p>
    <w:p w:rsidR="007661C5" w:rsidRDefault="007661C5" w:rsidP="007661C5">
      <w:pPr>
        <w:ind w:left="709" w:firstLine="709"/>
        <w:jc w:val="both"/>
        <w:rPr>
          <w:rFonts w:ascii="Arial" w:eastAsia="Times New Roman" w:hAnsi="Arial" w:cs="Arial"/>
          <w:bCs/>
          <w:sz w:val="22"/>
          <w:szCs w:val="22"/>
          <w:lang w:val="es-ES"/>
        </w:rPr>
      </w:pPr>
      <w:r>
        <w:rPr>
          <w:rFonts w:ascii="Arial" w:eastAsia="Times New Roman" w:hAnsi="Arial" w:cs="Arial"/>
          <w:bCs/>
          <w:sz w:val="22"/>
          <w:szCs w:val="22"/>
          <w:lang w:val="es-ES"/>
        </w:rPr>
        <w:t xml:space="preserve">c) </w:t>
      </w:r>
      <w:r w:rsidRPr="007661C5">
        <w:rPr>
          <w:rFonts w:ascii="Arial" w:eastAsia="Times New Roman" w:hAnsi="Arial" w:cs="Arial"/>
          <w:bCs/>
          <w:sz w:val="22"/>
          <w:szCs w:val="22"/>
          <w:lang w:val="es-ES"/>
        </w:rPr>
        <w:t>La cuota tributaria será el resultado de sumar los importes correspondientes a las variables de ocupación y de intensidad de uso, calculados conforme a lo dispuesto en las letras a) y b) anteriores.</w:t>
      </w:r>
    </w:p>
    <w:p w:rsidR="005E4EBA" w:rsidRDefault="007661C5" w:rsidP="007661C5">
      <w:pPr>
        <w:ind w:left="709" w:firstLine="709"/>
        <w:jc w:val="both"/>
        <w:rPr>
          <w:rFonts w:ascii="Arial" w:eastAsia="Times New Roman" w:hAnsi="Arial" w:cs="Arial"/>
          <w:sz w:val="22"/>
          <w:szCs w:val="22"/>
          <w:lang w:val="es-ES"/>
        </w:rPr>
      </w:pPr>
      <w:r>
        <w:rPr>
          <w:rFonts w:ascii="Arial" w:eastAsia="Times New Roman" w:hAnsi="Arial" w:cs="Arial"/>
          <w:bCs/>
          <w:sz w:val="22"/>
          <w:szCs w:val="22"/>
          <w:lang w:val="es-ES"/>
        </w:rPr>
        <w:t xml:space="preserve">6. </w:t>
      </w:r>
      <w:r w:rsidRPr="007661C5">
        <w:rPr>
          <w:rFonts w:ascii="Arial" w:eastAsia="Times New Roman" w:hAnsi="Arial" w:cs="Arial"/>
          <w:bCs/>
          <w:sz w:val="22"/>
          <w:szCs w:val="22"/>
          <w:lang w:val="es-ES"/>
        </w:rPr>
        <w:t xml:space="preserve">El período impositivo en el supuesto de pasos permanentes, comprenderá el año natural, devengándose la tasa periódicamente el 1 de enero de cada año, salvo en los casos de inicio o cese en el aprovechamiento en que se estará a lo previsto en el artículo 5.b) de esta ordenanza. En el caso de pasos provisionales que se autoricen por obras, las cuotas que </w:t>
      </w:r>
      <w:r w:rsidRPr="007661C5">
        <w:rPr>
          <w:rFonts w:ascii="Arial" w:eastAsia="Times New Roman" w:hAnsi="Arial" w:cs="Arial"/>
          <w:bCs/>
          <w:sz w:val="22"/>
          <w:szCs w:val="22"/>
          <w:lang w:val="es-ES"/>
        </w:rPr>
        <w:lastRenderedPageBreak/>
        <w:t>resulten de la aplicación de las tarifas a que se refiere el apartado anterior, se prorra</w:t>
      </w:r>
      <w:r>
        <w:rPr>
          <w:rFonts w:ascii="Arial" w:eastAsia="Times New Roman" w:hAnsi="Arial" w:cs="Arial"/>
          <w:bCs/>
          <w:sz w:val="22"/>
          <w:szCs w:val="22"/>
          <w:lang w:val="es-ES"/>
        </w:rPr>
        <w:t>tearán por el tiempo autorizado</w:t>
      </w:r>
      <w:r w:rsidR="005E4EBA">
        <w:rPr>
          <w:rFonts w:ascii="Arial" w:eastAsia="Times New Roman" w:hAnsi="Arial" w:cs="Arial"/>
          <w:bCs/>
          <w:sz w:val="22"/>
          <w:szCs w:val="22"/>
          <w:lang w:val="es-ES"/>
        </w:rPr>
        <w:t>»</w:t>
      </w:r>
      <w:r w:rsidR="005E4EBA" w:rsidRPr="00C53DC2">
        <w:rPr>
          <w:rFonts w:ascii="Arial" w:eastAsia="Times New Roman" w:hAnsi="Arial" w:cs="Arial"/>
          <w:sz w:val="22"/>
          <w:szCs w:val="22"/>
          <w:lang w:val="es-ES"/>
        </w:rPr>
        <w:t>.</w:t>
      </w:r>
    </w:p>
    <w:p w:rsidR="00C54C00" w:rsidRDefault="00C54C00" w:rsidP="00C54C00">
      <w:pPr>
        <w:ind w:left="709" w:firstLine="709"/>
        <w:jc w:val="both"/>
        <w:rPr>
          <w:rFonts w:ascii="Arial" w:eastAsia="Times New Roman" w:hAnsi="Arial" w:cs="Arial"/>
          <w:sz w:val="22"/>
          <w:szCs w:val="22"/>
          <w:lang w:val="es-ES"/>
        </w:rPr>
      </w:pPr>
    </w:p>
    <w:p w:rsidR="00C54C00" w:rsidRDefault="00C54C00" w:rsidP="00C54C00">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Dos</w:t>
      </w:r>
      <w:r w:rsidRPr="00717540">
        <w:rPr>
          <w:rFonts w:ascii="Arial" w:eastAsia="Times New Roman" w:hAnsi="Arial" w:cs="Arial"/>
          <w:spacing w:val="20"/>
          <w:sz w:val="22"/>
          <w:szCs w:val="22"/>
          <w:lang w:val="es-ES"/>
        </w:rPr>
        <w:t>. Se modifica</w:t>
      </w:r>
      <w:r w:rsidR="007661C5">
        <w:rPr>
          <w:rFonts w:ascii="Arial" w:eastAsia="Times New Roman" w:hAnsi="Arial" w:cs="Arial"/>
          <w:spacing w:val="20"/>
          <w:sz w:val="22"/>
          <w:szCs w:val="22"/>
          <w:lang w:val="es-ES"/>
        </w:rPr>
        <w:t xml:space="preserve"> la </w:t>
      </w:r>
      <w:r w:rsidR="00616BF8">
        <w:rPr>
          <w:rFonts w:ascii="Arial" w:eastAsia="Times New Roman" w:hAnsi="Arial" w:cs="Arial"/>
          <w:spacing w:val="20"/>
          <w:sz w:val="22"/>
          <w:szCs w:val="22"/>
          <w:lang w:val="es-ES"/>
        </w:rPr>
        <w:t>d</w:t>
      </w:r>
      <w:r w:rsidR="007661C5">
        <w:rPr>
          <w:rFonts w:ascii="Arial" w:eastAsia="Times New Roman" w:hAnsi="Arial" w:cs="Arial"/>
          <w:spacing w:val="20"/>
          <w:sz w:val="22"/>
          <w:szCs w:val="22"/>
          <w:lang w:val="es-ES"/>
        </w:rPr>
        <w:t xml:space="preserve">isposición </w:t>
      </w:r>
      <w:r w:rsidR="00616BF8">
        <w:rPr>
          <w:rFonts w:ascii="Arial" w:eastAsia="Times New Roman" w:hAnsi="Arial" w:cs="Arial"/>
          <w:spacing w:val="20"/>
          <w:sz w:val="22"/>
          <w:szCs w:val="22"/>
          <w:lang w:val="es-ES"/>
        </w:rPr>
        <w:t>t</w:t>
      </w:r>
      <w:r w:rsidR="007661C5">
        <w:rPr>
          <w:rFonts w:ascii="Arial" w:eastAsia="Times New Roman" w:hAnsi="Arial" w:cs="Arial"/>
          <w:spacing w:val="20"/>
          <w:sz w:val="22"/>
          <w:szCs w:val="22"/>
          <w:lang w:val="es-ES"/>
        </w:rPr>
        <w:t xml:space="preserve">ransitoria </w:t>
      </w:r>
      <w:r w:rsidR="00616BF8">
        <w:rPr>
          <w:rFonts w:ascii="Arial" w:eastAsia="Times New Roman" w:hAnsi="Arial" w:cs="Arial"/>
          <w:spacing w:val="20"/>
          <w:sz w:val="22"/>
          <w:szCs w:val="22"/>
          <w:lang w:val="es-ES"/>
        </w:rPr>
        <w:t>t</w:t>
      </w:r>
      <w:r w:rsidR="007661C5">
        <w:rPr>
          <w:rFonts w:ascii="Arial" w:eastAsia="Times New Roman" w:hAnsi="Arial" w:cs="Arial"/>
          <w:spacing w:val="20"/>
          <w:sz w:val="22"/>
          <w:szCs w:val="22"/>
          <w:lang w:val="es-ES"/>
        </w:rPr>
        <w:t>ercera</w:t>
      </w:r>
      <w:r w:rsidRPr="00620B61">
        <w:rPr>
          <w:rFonts w:ascii="Arial" w:eastAsia="Times New Roman" w:hAnsi="Arial" w:cs="Arial"/>
          <w:spacing w:val="20"/>
          <w:sz w:val="22"/>
          <w:szCs w:val="22"/>
          <w:lang w:val="es-ES"/>
        </w:rPr>
        <w:t>, que queda</w:t>
      </w:r>
      <w:r w:rsidR="007661C5">
        <w:rPr>
          <w:rFonts w:ascii="Arial" w:eastAsia="Times New Roman" w:hAnsi="Arial" w:cs="Arial"/>
          <w:spacing w:val="20"/>
          <w:sz w:val="22"/>
          <w:szCs w:val="22"/>
          <w:lang w:val="es-ES"/>
        </w:rPr>
        <w:t xml:space="preserve"> redactada</w:t>
      </w:r>
      <w:r>
        <w:rPr>
          <w:rFonts w:ascii="Arial" w:eastAsia="Times New Roman" w:hAnsi="Arial" w:cs="Arial"/>
          <w:spacing w:val="20"/>
          <w:sz w:val="22"/>
          <w:szCs w:val="22"/>
          <w:lang w:val="es-ES"/>
        </w:rPr>
        <w:t xml:space="preserve"> del siguiente modo:</w:t>
      </w:r>
      <w:r w:rsidRPr="00717540">
        <w:rPr>
          <w:rFonts w:ascii="Arial" w:eastAsia="Times New Roman" w:hAnsi="Arial" w:cs="Arial"/>
          <w:spacing w:val="20"/>
          <w:sz w:val="22"/>
          <w:szCs w:val="22"/>
          <w:lang w:val="es-ES"/>
        </w:rPr>
        <w:t xml:space="preserve"> </w:t>
      </w:r>
    </w:p>
    <w:p w:rsidR="00C54C00" w:rsidRDefault="00C54C00" w:rsidP="00C54C00">
      <w:pPr>
        <w:ind w:left="709" w:firstLine="709"/>
        <w:jc w:val="both"/>
        <w:rPr>
          <w:rFonts w:ascii="Arial" w:eastAsia="Times New Roman" w:hAnsi="Arial" w:cs="Arial"/>
          <w:spacing w:val="20"/>
          <w:sz w:val="22"/>
          <w:szCs w:val="22"/>
          <w:lang w:val="es-ES"/>
        </w:rPr>
      </w:pPr>
    </w:p>
    <w:p w:rsidR="00C54C00" w:rsidRDefault="007661C5" w:rsidP="00995EDE">
      <w:pPr>
        <w:ind w:left="709" w:firstLine="709"/>
        <w:jc w:val="both"/>
        <w:rPr>
          <w:rFonts w:ascii="Arial" w:eastAsia="Times New Roman" w:hAnsi="Arial" w:cs="Arial"/>
          <w:bCs/>
          <w:sz w:val="22"/>
          <w:szCs w:val="22"/>
          <w:lang w:val="es-ES"/>
        </w:rPr>
      </w:pPr>
      <w:r>
        <w:rPr>
          <w:rFonts w:ascii="Arial" w:eastAsia="Times New Roman" w:hAnsi="Arial" w:cs="Arial"/>
          <w:sz w:val="22"/>
          <w:szCs w:val="22"/>
          <w:lang w:val="es-ES"/>
        </w:rPr>
        <w:t xml:space="preserve">«Tercera. </w:t>
      </w:r>
      <w:r w:rsidRPr="007661C5">
        <w:rPr>
          <w:rFonts w:ascii="Arial" w:eastAsia="Times New Roman" w:hAnsi="Arial" w:cs="Arial"/>
          <w:sz w:val="22"/>
          <w:szCs w:val="22"/>
          <w:lang w:val="es-ES"/>
        </w:rPr>
        <w:t>Las liquidaciones correspondientes a la tasa por paso de vehículos exigibles por el año 2017 serán notificadas individualmente a los obligados tributarios a partir de los datos conocidos por la Administración Tributaria Municipal. Con carácter general, las liquidaciones exigibles por los años 2018 y sucesivos incluidas en el correspondiente padrón o matrícula serán objeto de notificación colectiva conforme a lo dispuesto en los artículos 24.2 de esta ordenanza y concordantes de la Ordenanza Fiscal General de Ge</w:t>
      </w:r>
      <w:r>
        <w:rPr>
          <w:rFonts w:ascii="Arial" w:eastAsia="Times New Roman" w:hAnsi="Arial" w:cs="Arial"/>
          <w:sz w:val="22"/>
          <w:szCs w:val="22"/>
          <w:lang w:val="es-ES"/>
        </w:rPr>
        <w:t>stión, Recaudación e Inspección</w:t>
      </w:r>
      <w:r w:rsidR="00C54C00">
        <w:rPr>
          <w:rFonts w:ascii="Arial" w:eastAsia="Times New Roman" w:hAnsi="Arial" w:cs="Arial"/>
          <w:bCs/>
          <w:sz w:val="22"/>
          <w:szCs w:val="22"/>
          <w:lang w:val="es-ES"/>
        </w:rPr>
        <w:t>»</w:t>
      </w:r>
      <w:r w:rsidR="00995EDE">
        <w:rPr>
          <w:rFonts w:ascii="Arial" w:eastAsia="Times New Roman" w:hAnsi="Arial" w:cs="Arial"/>
          <w:bCs/>
          <w:sz w:val="22"/>
          <w:szCs w:val="22"/>
          <w:lang w:val="es-ES"/>
        </w:rPr>
        <w:t>.</w:t>
      </w:r>
    </w:p>
    <w:p w:rsidR="006A73BF" w:rsidRDefault="006A73BF" w:rsidP="00995EDE">
      <w:pPr>
        <w:ind w:left="709" w:firstLine="709"/>
        <w:jc w:val="both"/>
        <w:rPr>
          <w:rFonts w:ascii="Arial" w:eastAsia="Times New Roman" w:hAnsi="Arial" w:cs="Arial"/>
          <w:bCs/>
          <w:sz w:val="22"/>
          <w:szCs w:val="22"/>
          <w:lang w:val="es-ES"/>
        </w:rPr>
      </w:pPr>
    </w:p>
    <w:p w:rsidR="006A73BF" w:rsidRPr="00995EDE" w:rsidRDefault="006A73BF" w:rsidP="006A73BF">
      <w:pPr>
        <w:ind w:firstLine="709"/>
        <w:jc w:val="both"/>
        <w:rPr>
          <w:rFonts w:ascii="Arial" w:eastAsia="Times New Roman" w:hAnsi="Arial" w:cs="Arial"/>
          <w:bCs/>
          <w:sz w:val="22"/>
          <w:szCs w:val="22"/>
          <w:lang w:val="es-ES"/>
        </w:rPr>
      </w:pPr>
      <w:r>
        <w:rPr>
          <w:rFonts w:ascii="Arial" w:eastAsia="Times New Roman" w:hAnsi="Arial" w:cs="Arial"/>
          <w:spacing w:val="20"/>
          <w:sz w:val="22"/>
          <w:szCs w:val="22"/>
          <w:lang w:val="es-ES"/>
        </w:rPr>
        <w:t>Tres</w:t>
      </w:r>
      <w:r w:rsidRPr="00717540">
        <w:rPr>
          <w:rFonts w:ascii="Arial" w:eastAsia="Times New Roman" w:hAnsi="Arial" w:cs="Arial"/>
          <w:spacing w:val="20"/>
          <w:sz w:val="22"/>
          <w:szCs w:val="22"/>
          <w:lang w:val="es-ES"/>
        </w:rPr>
        <w:t>. Se</w:t>
      </w:r>
      <w:r>
        <w:rPr>
          <w:rFonts w:ascii="Arial" w:eastAsia="Times New Roman" w:hAnsi="Arial" w:cs="Arial"/>
          <w:spacing w:val="20"/>
          <w:sz w:val="22"/>
          <w:szCs w:val="22"/>
          <w:lang w:val="es-ES"/>
        </w:rPr>
        <w:t xml:space="preserve"> suprime el Anexo.</w:t>
      </w:r>
    </w:p>
    <w:p w:rsidR="00C54C00" w:rsidRDefault="00C54C00" w:rsidP="00C54C00">
      <w:pPr>
        <w:ind w:left="709" w:firstLine="709"/>
        <w:jc w:val="both"/>
        <w:rPr>
          <w:rFonts w:ascii="Arial" w:eastAsia="Times New Roman" w:hAnsi="Arial" w:cs="Arial"/>
          <w:sz w:val="22"/>
          <w:szCs w:val="22"/>
          <w:lang w:val="es-ES"/>
        </w:rPr>
      </w:pPr>
    </w:p>
    <w:sectPr w:rsidR="00C54C00"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27B" w:rsidRDefault="00CA127B">
      <w:r>
        <w:separator/>
      </w:r>
    </w:p>
  </w:endnote>
  <w:endnote w:type="continuationSeparator" w:id="0">
    <w:p w:rsidR="00CA127B" w:rsidRDefault="00CA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w:panose1 w:val="020B0602020204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libri">
    <w:altName w:val="Lato"/>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8D7994">
      <w:rPr>
        <w:rStyle w:val="Nmerodepgina"/>
        <w:rFonts w:ascii="Arial" w:hAnsi="Arial" w:cs="Arial"/>
        <w:noProof/>
        <w:sz w:val="16"/>
        <w:szCs w:val="16"/>
      </w:rPr>
      <w:t>2</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27B" w:rsidRDefault="00CA127B">
      <w:r>
        <w:separator/>
      </w:r>
    </w:p>
  </w:footnote>
  <w:footnote w:type="continuationSeparator" w:id="0">
    <w:p w:rsidR="00CA127B" w:rsidRDefault="00CA1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01A6A"/>
    <w:rsid w:val="0001142D"/>
    <w:rsid w:val="00020722"/>
    <w:rsid w:val="0002556F"/>
    <w:rsid w:val="00026129"/>
    <w:rsid w:val="000333BB"/>
    <w:rsid w:val="0003518A"/>
    <w:rsid w:val="000365C7"/>
    <w:rsid w:val="00036B7B"/>
    <w:rsid w:val="000445D9"/>
    <w:rsid w:val="000446D2"/>
    <w:rsid w:val="000500C1"/>
    <w:rsid w:val="000511F0"/>
    <w:rsid w:val="00054D73"/>
    <w:rsid w:val="0005512F"/>
    <w:rsid w:val="0006086E"/>
    <w:rsid w:val="00071087"/>
    <w:rsid w:val="000739F6"/>
    <w:rsid w:val="00074A4F"/>
    <w:rsid w:val="00083851"/>
    <w:rsid w:val="00085328"/>
    <w:rsid w:val="00085600"/>
    <w:rsid w:val="000878CE"/>
    <w:rsid w:val="00092609"/>
    <w:rsid w:val="0009318B"/>
    <w:rsid w:val="00094662"/>
    <w:rsid w:val="000947C8"/>
    <w:rsid w:val="00094A05"/>
    <w:rsid w:val="00096BF8"/>
    <w:rsid w:val="000A36E4"/>
    <w:rsid w:val="000A6D36"/>
    <w:rsid w:val="000B3D1D"/>
    <w:rsid w:val="000B4952"/>
    <w:rsid w:val="000B6186"/>
    <w:rsid w:val="000C113A"/>
    <w:rsid w:val="000C1677"/>
    <w:rsid w:val="000C73D3"/>
    <w:rsid w:val="000D10BB"/>
    <w:rsid w:val="000D60D5"/>
    <w:rsid w:val="000E0605"/>
    <w:rsid w:val="000E22F0"/>
    <w:rsid w:val="000E47B9"/>
    <w:rsid w:val="000E4D78"/>
    <w:rsid w:val="000E5779"/>
    <w:rsid w:val="000F04BE"/>
    <w:rsid w:val="000F09B5"/>
    <w:rsid w:val="000F40A3"/>
    <w:rsid w:val="000F461D"/>
    <w:rsid w:val="000F6995"/>
    <w:rsid w:val="000F7729"/>
    <w:rsid w:val="000F7E3D"/>
    <w:rsid w:val="001025DF"/>
    <w:rsid w:val="0010474E"/>
    <w:rsid w:val="00105561"/>
    <w:rsid w:val="00105607"/>
    <w:rsid w:val="001123A8"/>
    <w:rsid w:val="00114192"/>
    <w:rsid w:val="00117B8D"/>
    <w:rsid w:val="00121D3A"/>
    <w:rsid w:val="0012214D"/>
    <w:rsid w:val="00131DF1"/>
    <w:rsid w:val="001345C9"/>
    <w:rsid w:val="0013480B"/>
    <w:rsid w:val="001419DB"/>
    <w:rsid w:val="00152F14"/>
    <w:rsid w:val="001534EC"/>
    <w:rsid w:val="001559FB"/>
    <w:rsid w:val="00156828"/>
    <w:rsid w:val="00164DBB"/>
    <w:rsid w:val="00165DE9"/>
    <w:rsid w:val="00166DCC"/>
    <w:rsid w:val="00173C75"/>
    <w:rsid w:val="00182E34"/>
    <w:rsid w:val="0018558B"/>
    <w:rsid w:val="00186C0E"/>
    <w:rsid w:val="00187506"/>
    <w:rsid w:val="00192A4F"/>
    <w:rsid w:val="00195D47"/>
    <w:rsid w:val="001A01F1"/>
    <w:rsid w:val="001A499B"/>
    <w:rsid w:val="001A777E"/>
    <w:rsid w:val="001B020C"/>
    <w:rsid w:val="001B4B0C"/>
    <w:rsid w:val="001B5000"/>
    <w:rsid w:val="001B5E67"/>
    <w:rsid w:val="001C3B83"/>
    <w:rsid w:val="001C71B9"/>
    <w:rsid w:val="001D13D4"/>
    <w:rsid w:val="001D46B9"/>
    <w:rsid w:val="001D68A7"/>
    <w:rsid w:val="001E053C"/>
    <w:rsid w:val="001E063E"/>
    <w:rsid w:val="001F0AE1"/>
    <w:rsid w:val="001F41CC"/>
    <w:rsid w:val="001F462D"/>
    <w:rsid w:val="00201ECD"/>
    <w:rsid w:val="00212127"/>
    <w:rsid w:val="002203D0"/>
    <w:rsid w:val="00224413"/>
    <w:rsid w:val="00226A37"/>
    <w:rsid w:val="00227EA4"/>
    <w:rsid w:val="00243C4C"/>
    <w:rsid w:val="002456BA"/>
    <w:rsid w:val="00251F95"/>
    <w:rsid w:val="00256DFA"/>
    <w:rsid w:val="002606DE"/>
    <w:rsid w:val="00262E15"/>
    <w:rsid w:val="00270ED4"/>
    <w:rsid w:val="002723D3"/>
    <w:rsid w:val="0027529C"/>
    <w:rsid w:val="0028247E"/>
    <w:rsid w:val="00283AD1"/>
    <w:rsid w:val="002841DD"/>
    <w:rsid w:val="00284611"/>
    <w:rsid w:val="00291405"/>
    <w:rsid w:val="00294664"/>
    <w:rsid w:val="00296520"/>
    <w:rsid w:val="002969B8"/>
    <w:rsid w:val="002C2AD8"/>
    <w:rsid w:val="002C5F57"/>
    <w:rsid w:val="002C6AAE"/>
    <w:rsid w:val="002C6F49"/>
    <w:rsid w:val="002C7186"/>
    <w:rsid w:val="002C7D67"/>
    <w:rsid w:val="002D3E7A"/>
    <w:rsid w:val="002D44B3"/>
    <w:rsid w:val="002E1DC3"/>
    <w:rsid w:val="002F5CA0"/>
    <w:rsid w:val="002F7520"/>
    <w:rsid w:val="0030022E"/>
    <w:rsid w:val="003011BE"/>
    <w:rsid w:val="00302C7C"/>
    <w:rsid w:val="0030455C"/>
    <w:rsid w:val="003108CE"/>
    <w:rsid w:val="00310C2B"/>
    <w:rsid w:val="003110BB"/>
    <w:rsid w:val="00312D67"/>
    <w:rsid w:val="003237F0"/>
    <w:rsid w:val="00324852"/>
    <w:rsid w:val="003275D1"/>
    <w:rsid w:val="00330087"/>
    <w:rsid w:val="003469B2"/>
    <w:rsid w:val="00353E1D"/>
    <w:rsid w:val="0035408E"/>
    <w:rsid w:val="00355B0B"/>
    <w:rsid w:val="003674F0"/>
    <w:rsid w:val="003705AA"/>
    <w:rsid w:val="003716D1"/>
    <w:rsid w:val="00384074"/>
    <w:rsid w:val="0038476C"/>
    <w:rsid w:val="00384ECA"/>
    <w:rsid w:val="00391470"/>
    <w:rsid w:val="00394261"/>
    <w:rsid w:val="00395E9C"/>
    <w:rsid w:val="003A0BC0"/>
    <w:rsid w:val="003A7094"/>
    <w:rsid w:val="003A70A0"/>
    <w:rsid w:val="003A7839"/>
    <w:rsid w:val="003B1F94"/>
    <w:rsid w:val="003B30F5"/>
    <w:rsid w:val="003C2F47"/>
    <w:rsid w:val="003D43CB"/>
    <w:rsid w:val="003D67EB"/>
    <w:rsid w:val="003E4123"/>
    <w:rsid w:val="003F1B03"/>
    <w:rsid w:val="00402C34"/>
    <w:rsid w:val="00414C9B"/>
    <w:rsid w:val="0041757E"/>
    <w:rsid w:val="00422A5B"/>
    <w:rsid w:val="00424F47"/>
    <w:rsid w:val="004252C1"/>
    <w:rsid w:val="004307E2"/>
    <w:rsid w:val="00430AFF"/>
    <w:rsid w:val="00433BF6"/>
    <w:rsid w:val="00434685"/>
    <w:rsid w:val="004360F7"/>
    <w:rsid w:val="004366BF"/>
    <w:rsid w:val="00440C08"/>
    <w:rsid w:val="0045222E"/>
    <w:rsid w:val="00452E55"/>
    <w:rsid w:val="00462517"/>
    <w:rsid w:val="00464F89"/>
    <w:rsid w:val="00471854"/>
    <w:rsid w:val="004740DF"/>
    <w:rsid w:val="0048001A"/>
    <w:rsid w:val="0048034D"/>
    <w:rsid w:val="004851C4"/>
    <w:rsid w:val="00492513"/>
    <w:rsid w:val="004945CA"/>
    <w:rsid w:val="00494777"/>
    <w:rsid w:val="00496094"/>
    <w:rsid w:val="00497D96"/>
    <w:rsid w:val="004A6396"/>
    <w:rsid w:val="004A76DC"/>
    <w:rsid w:val="004B0A5A"/>
    <w:rsid w:val="004B0B67"/>
    <w:rsid w:val="004B46F7"/>
    <w:rsid w:val="004B6D43"/>
    <w:rsid w:val="004B6DC7"/>
    <w:rsid w:val="004C34B7"/>
    <w:rsid w:val="004C76B6"/>
    <w:rsid w:val="004D2CE5"/>
    <w:rsid w:val="004D420F"/>
    <w:rsid w:val="004E4789"/>
    <w:rsid w:val="004F2AF1"/>
    <w:rsid w:val="004F2EAD"/>
    <w:rsid w:val="004F7B62"/>
    <w:rsid w:val="0050236C"/>
    <w:rsid w:val="00505A74"/>
    <w:rsid w:val="005075EA"/>
    <w:rsid w:val="0051309E"/>
    <w:rsid w:val="005231F5"/>
    <w:rsid w:val="00523638"/>
    <w:rsid w:val="00531BB3"/>
    <w:rsid w:val="00535922"/>
    <w:rsid w:val="00541972"/>
    <w:rsid w:val="00563552"/>
    <w:rsid w:val="005812E0"/>
    <w:rsid w:val="00583189"/>
    <w:rsid w:val="00584B7A"/>
    <w:rsid w:val="00584EF5"/>
    <w:rsid w:val="00587AD3"/>
    <w:rsid w:val="00592E3E"/>
    <w:rsid w:val="0059609F"/>
    <w:rsid w:val="005A33AA"/>
    <w:rsid w:val="005A51F7"/>
    <w:rsid w:val="005A62B0"/>
    <w:rsid w:val="005B5212"/>
    <w:rsid w:val="005B6E3A"/>
    <w:rsid w:val="005B6EC9"/>
    <w:rsid w:val="005D2D26"/>
    <w:rsid w:val="005D45E9"/>
    <w:rsid w:val="005D49EE"/>
    <w:rsid w:val="005D695B"/>
    <w:rsid w:val="005E15A9"/>
    <w:rsid w:val="005E4EBA"/>
    <w:rsid w:val="005F419B"/>
    <w:rsid w:val="00600306"/>
    <w:rsid w:val="00603B62"/>
    <w:rsid w:val="00616B7B"/>
    <w:rsid w:val="00616BF8"/>
    <w:rsid w:val="00620B61"/>
    <w:rsid w:val="00625118"/>
    <w:rsid w:val="006400E6"/>
    <w:rsid w:val="006434C3"/>
    <w:rsid w:val="00643A4B"/>
    <w:rsid w:val="00645F68"/>
    <w:rsid w:val="00651088"/>
    <w:rsid w:val="006548ED"/>
    <w:rsid w:val="0066174E"/>
    <w:rsid w:val="00666817"/>
    <w:rsid w:val="006679BF"/>
    <w:rsid w:val="0067281D"/>
    <w:rsid w:val="006805C3"/>
    <w:rsid w:val="00687A62"/>
    <w:rsid w:val="00690295"/>
    <w:rsid w:val="006925FD"/>
    <w:rsid w:val="006963D1"/>
    <w:rsid w:val="006A0254"/>
    <w:rsid w:val="006A5ED3"/>
    <w:rsid w:val="006A6444"/>
    <w:rsid w:val="006A73BF"/>
    <w:rsid w:val="006B01C6"/>
    <w:rsid w:val="006B0319"/>
    <w:rsid w:val="006B1F5D"/>
    <w:rsid w:val="006B25E5"/>
    <w:rsid w:val="006B79FD"/>
    <w:rsid w:val="006C1AD3"/>
    <w:rsid w:val="006D17B0"/>
    <w:rsid w:val="006D744D"/>
    <w:rsid w:val="006E24FD"/>
    <w:rsid w:val="006E5C18"/>
    <w:rsid w:val="006F595E"/>
    <w:rsid w:val="006F5AB0"/>
    <w:rsid w:val="006F643E"/>
    <w:rsid w:val="006F6BF8"/>
    <w:rsid w:val="0070265A"/>
    <w:rsid w:val="00705EF3"/>
    <w:rsid w:val="0071231F"/>
    <w:rsid w:val="007133DA"/>
    <w:rsid w:val="00717540"/>
    <w:rsid w:val="00720CCB"/>
    <w:rsid w:val="0072275E"/>
    <w:rsid w:val="00725BE7"/>
    <w:rsid w:val="007322D6"/>
    <w:rsid w:val="007327AE"/>
    <w:rsid w:val="00732D01"/>
    <w:rsid w:val="00747BCA"/>
    <w:rsid w:val="00761C1E"/>
    <w:rsid w:val="007661C5"/>
    <w:rsid w:val="00771712"/>
    <w:rsid w:val="007735A4"/>
    <w:rsid w:val="00773883"/>
    <w:rsid w:val="00773892"/>
    <w:rsid w:val="0077489E"/>
    <w:rsid w:val="007804C1"/>
    <w:rsid w:val="007830C5"/>
    <w:rsid w:val="00787BEE"/>
    <w:rsid w:val="00787D2D"/>
    <w:rsid w:val="00790C8C"/>
    <w:rsid w:val="007944AB"/>
    <w:rsid w:val="00795314"/>
    <w:rsid w:val="00797CFD"/>
    <w:rsid w:val="007A144D"/>
    <w:rsid w:val="007A4A78"/>
    <w:rsid w:val="007A745C"/>
    <w:rsid w:val="007A7668"/>
    <w:rsid w:val="007B6587"/>
    <w:rsid w:val="007B79A9"/>
    <w:rsid w:val="007D014A"/>
    <w:rsid w:val="007D07D3"/>
    <w:rsid w:val="007D40DB"/>
    <w:rsid w:val="007D47CD"/>
    <w:rsid w:val="007E09DC"/>
    <w:rsid w:val="007E5F0C"/>
    <w:rsid w:val="007E61D7"/>
    <w:rsid w:val="007F0907"/>
    <w:rsid w:val="007F595C"/>
    <w:rsid w:val="00802037"/>
    <w:rsid w:val="00805ED1"/>
    <w:rsid w:val="008072CD"/>
    <w:rsid w:val="00815B15"/>
    <w:rsid w:val="00815E29"/>
    <w:rsid w:val="00823008"/>
    <w:rsid w:val="00823E4B"/>
    <w:rsid w:val="00824A59"/>
    <w:rsid w:val="00827070"/>
    <w:rsid w:val="008335E1"/>
    <w:rsid w:val="008349D5"/>
    <w:rsid w:val="008356CD"/>
    <w:rsid w:val="00836865"/>
    <w:rsid w:val="00837E55"/>
    <w:rsid w:val="00842032"/>
    <w:rsid w:val="00855352"/>
    <w:rsid w:val="0086065A"/>
    <w:rsid w:val="00861B7C"/>
    <w:rsid w:val="00863617"/>
    <w:rsid w:val="00863DB1"/>
    <w:rsid w:val="00866272"/>
    <w:rsid w:val="00875EDF"/>
    <w:rsid w:val="008803BE"/>
    <w:rsid w:val="008833E2"/>
    <w:rsid w:val="0088424B"/>
    <w:rsid w:val="00884BAB"/>
    <w:rsid w:val="00885D5C"/>
    <w:rsid w:val="008907CD"/>
    <w:rsid w:val="00894B24"/>
    <w:rsid w:val="00897D6A"/>
    <w:rsid w:val="008A0D5A"/>
    <w:rsid w:val="008A26C0"/>
    <w:rsid w:val="008A6329"/>
    <w:rsid w:val="008B1565"/>
    <w:rsid w:val="008B34CE"/>
    <w:rsid w:val="008B47E7"/>
    <w:rsid w:val="008B6F9F"/>
    <w:rsid w:val="008C088F"/>
    <w:rsid w:val="008C2F50"/>
    <w:rsid w:val="008D616D"/>
    <w:rsid w:val="008D7994"/>
    <w:rsid w:val="008E3DCD"/>
    <w:rsid w:val="008E4166"/>
    <w:rsid w:val="008E6C1F"/>
    <w:rsid w:val="008F2E38"/>
    <w:rsid w:val="009024C3"/>
    <w:rsid w:val="00907218"/>
    <w:rsid w:val="00907F90"/>
    <w:rsid w:val="009102C9"/>
    <w:rsid w:val="00911439"/>
    <w:rsid w:val="00917171"/>
    <w:rsid w:val="009258F1"/>
    <w:rsid w:val="00931223"/>
    <w:rsid w:val="00942995"/>
    <w:rsid w:val="00944D9A"/>
    <w:rsid w:val="00946AB2"/>
    <w:rsid w:val="00951699"/>
    <w:rsid w:val="009561CA"/>
    <w:rsid w:val="009667D6"/>
    <w:rsid w:val="0097112A"/>
    <w:rsid w:val="00974068"/>
    <w:rsid w:val="00976257"/>
    <w:rsid w:val="00976C53"/>
    <w:rsid w:val="00984EDB"/>
    <w:rsid w:val="00985FC7"/>
    <w:rsid w:val="00987828"/>
    <w:rsid w:val="00987E4E"/>
    <w:rsid w:val="00992E7A"/>
    <w:rsid w:val="00993232"/>
    <w:rsid w:val="00995EDE"/>
    <w:rsid w:val="009A0A71"/>
    <w:rsid w:val="009A2EB0"/>
    <w:rsid w:val="009B0AF3"/>
    <w:rsid w:val="009B33D8"/>
    <w:rsid w:val="009B3B15"/>
    <w:rsid w:val="009B3B4C"/>
    <w:rsid w:val="009B54C5"/>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32BA6"/>
    <w:rsid w:val="00A46201"/>
    <w:rsid w:val="00A52215"/>
    <w:rsid w:val="00A53E21"/>
    <w:rsid w:val="00A55463"/>
    <w:rsid w:val="00A56628"/>
    <w:rsid w:val="00A621FA"/>
    <w:rsid w:val="00A64374"/>
    <w:rsid w:val="00A6542E"/>
    <w:rsid w:val="00A70B07"/>
    <w:rsid w:val="00A74C08"/>
    <w:rsid w:val="00A75AFD"/>
    <w:rsid w:val="00A76115"/>
    <w:rsid w:val="00A81AA4"/>
    <w:rsid w:val="00A823E3"/>
    <w:rsid w:val="00A86FE6"/>
    <w:rsid w:val="00A87630"/>
    <w:rsid w:val="00A904A0"/>
    <w:rsid w:val="00A94CDF"/>
    <w:rsid w:val="00A96ECF"/>
    <w:rsid w:val="00AA3844"/>
    <w:rsid w:val="00AA4E37"/>
    <w:rsid w:val="00AA6857"/>
    <w:rsid w:val="00AA7DF3"/>
    <w:rsid w:val="00AB4BD3"/>
    <w:rsid w:val="00AB7BEE"/>
    <w:rsid w:val="00AC5191"/>
    <w:rsid w:val="00AC5947"/>
    <w:rsid w:val="00AD2E6D"/>
    <w:rsid w:val="00AE7095"/>
    <w:rsid w:val="00AE7E51"/>
    <w:rsid w:val="00B00955"/>
    <w:rsid w:val="00B01041"/>
    <w:rsid w:val="00B01A8E"/>
    <w:rsid w:val="00B01FED"/>
    <w:rsid w:val="00B0491A"/>
    <w:rsid w:val="00B0740F"/>
    <w:rsid w:val="00B134A1"/>
    <w:rsid w:val="00B15773"/>
    <w:rsid w:val="00B1631D"/>
    <w:rsid w:val="00B16CE7"/>
    <w:rsid w:val="00B2325E"/>
    <w:rsid w:val="00B2357A"/>
    <w:rsid w:val="00B2455C"/>
    <w:rsid w:val="00B2712B"/>
    <w:rsid w:val="00B3067F"/>
    <w:rsid w:val="00B31FDD"/>
    <w:rsid w:val="00B35992"/>
    <w:rsid w:val="00B375B7"/>
    <w:rsid w:val="00B433A3"/>
    <w:rsid w:val="00B44802"/>
    <w:rsid w:val="00B44C71"/>
    <w:rsid w:val="00B6033B"/>
    <w:rsid w:val="00B61B4A"/>
    <w:rsid w:val="00B723A6"/>
    <w:rsid w:val="00B75DD7"/>
    <w:rsid w:val="00B81249"/>
    <w:rsid w:val="00B82C7D"/>
    <w:rsid w:val="00B85FB1"/>
    <w:rsid w:val="00B94F6B"/>
    <w:rsid w:val="00BA6A6C"/>
    <w:rsid w:val="00BB0AD5"/>
    <w:rsid w:val="00BB1F47"/>
    <w:rsid w:val="00BB2CC8"/>
    <w:rsid w:val="00BB3675"/>
    <w:rsid w:val="00BB3E82"/>
    <w:rsid w:val="00BB4132"/>
    <w:rsid w:val="00BC2B3C"/>
    <w:rsid w:val="00BC74F1"/>
    <w:rsid w:val="00BD203A"/>
    <w:rsid w:val="00BD7BA9"/>
    <w:rsid w:val="00BF2CDB"/>
    <w:rsid w:val="00BF6B9A"/>
    <w:rsid w:val="00C0058E"/>
    <w:rsid w:val="00C05BCE"/>
    <w:rsid w:val="00C10759"/>
    <w:rsid w:val="00C1633C"/>
    <w:rsid w:val="00C22246"/>
    <w:rsid w:val="00C23590"/>
    <w:rsid w:val="00C34433"/>
    <w:rsid w:val="00C41507"/>
    <w:rsid w:val="00C4476B"/>
    <w:rsid w:val="00C44B65"/>
    <w:rsid w:val="00C47341"/>
    <w:rsid w:val="00C5117E"/>
    <w:rsid w:val="00C52ECB"/>
    <w:rsid w:val="00C52F25"/>
    <w:rsid w:val="00C53DC2"/>
    <w:rsid w:val="00C54C00"/>
    <w:rsid w:val="00C54DD4"/>
    <w:rsid w:val="00C5562D"/>
    <w:rsid w:val="00C55F38"/>
    <w:rsid w:val="00C6192E"/>
    <w:rsid w:val="00C6296B"/>
    <w:rsid w:val="00C64145"/>
    <w:rsid w:val="00C64CC6"/>
    <w:rsid w:val="00C712C9"/>
    <w:rsid w:val="00C73C7F"/>
    <w:rsid w:val="00C7410B"/>
    <w:rsid w:val="00C83DF2"/>
    <w:rsid w:val="00C85727"/>
    <w:rsid w:val="00C8715C"/>
    <w:rsid w:val="00C95316"/>
    <w:rsid w:val="00C97FBA"/>
    <w:rsid w:val="00CA127B"/>
    <w:rsid w:val="00CB059F"/>
    <w:rsid w:val="00CB381C"/>
    <w:rsid w:val="00CC3ECE"/>
    <w:rsid w:val="00CC4434"/>
    <w:rsid w:val="00CC4CC3"/>
    <w:rsid w:val="00CC78BE"/>
    <w:rsid w:val="00CE0450"/>
    <w:rsid w:val="00CE060A"/>
    <w:rsid w:val="00CE1FA1"/>
    <w:rsid w:val="00CE6D79"/>
    <w:rsid w:val="00CF05BE"/>
    <w:rsid w:val="00D00546"/>
    <w:rsid w:val="00D10F85"/>
    <w:rsid w:val="00D13BBF"/>
    <w:rsid w:val="00D1441F"/>
    <w:rsid w:val="00D16106"/>
    <w:rsid w:val="00D3515D"/>
    <w:rsid w:val="00D37459"/>
    <w:rsid w:val="00D44E0E"/>
    <w:rsid w:val="00D514D5"/>
    <w:rsid w:val="00D5279F"/>
    <w:rsid w:val="00D55183"/>
    <w:rsid w:val="00D55861"/>
    <w:rsid w:val="00D55C25"/>
    <w:rsid w:val="00D6298F"/>
    <w:rsid w:val="00D74010"/>
    <w:rsid w:val="00D75B50"/>
    <w:rsid w:val="00D8359C"/>
    <w:rsid w:val="00D872C6"/>
    <w:rsid w:val="00D9346D"/>
    <w:rsid w:val="00D95638"/>
    <w:rsid w:val="00DA79D8"/>
    <w:rsid w:val="00DB2401"/>
    <w:rsid w:val="00DB7659"/>
    <w:rsid w:val="00DD3249"/>
    <w:rsid w:val="00DD4FAA"/>
    <w:rsid w:val="00DE04D2"/>
    <w:rsid w:val="00DE3618"/>
    <w:rsid w:val="00DE7364"/>
    <w:rsid w:val="00DF5DE9"/>
    <w:rsid w:val="00DF5FD1"/>
    <w:rsid w:val="00E00125"/>
    <w:rsid w:val="00E002AB"/>
    <w:rsid w:val="00E16057"/>
    <w:rsid w:val="00E176D9"/>
    <w:rsid w:val="00E246CE"/>
    <w:rsid w:val="00E26169"/>
    <w:rsid w:val="00E31CF7"/>
    <w:rsid w:val="00E43D3F"/>
    <w:rsid w:val="00E46CBB"/>
    <w:rsid w:val="00E522CD"/>
    <w:rsid w:val="00E610E6"/>
    <w:rsid w:val="00E63982"/>
    <w:rsid w:val="00E662DE"/>
    <w:rsid w:val="00E67CA7"/>
    <w:rsid w:val="00E730E9"/>
    <w:rsid w:val="00E74AC6"/>
    <w:rsid w:val="00E802EB"/>
    <w:rsid w:val="00E822F9"/>
    <w:rsid w:val="00E833F7"/>
    <w:rsid w:val="00E8393E"/>
    <w:rsid w:val="00E86462"/>
    <w:rsid w:val="00E965C6"/>
    <w:rsid w:val="00EA0AA3"/>
    <w:rsid w:val="00EA2217"/>
    <w:rsid w:val="00EA450A"/>
    <w:rsid w:val="00EA5DAC"/>
    <w:rsid w:val="00EB068B"/>
    <w:rsid w:val="00EB16B9"/>
    <w:rsid w:val="00EB40B5"/>
    <w:rsid w:val="00EB463F"/>
    <w:rsid w:val="00EC2CC3"/>
    <w:rsid w:val="00EC3CC7"/>
    <w:rsid w:val="00EC45DB"/>
    <w:rsid w:val="00EC5022"/>
    <w:rsid w:val="00ED0AB7"/>
    <w:rsid w:val="00ED1D09"/>
    <w:rsid w:val="00ED3F0A"/>
    <w:rsid w:val="00EE0573"/>
    <w:rsid w:val="00EE1467"/>
    <w:rsid w:val="00EF17E3"/>
    <w:rsid w:val="00F04DE6"/>
    <w:rsid w:val="00F05670"/>
    <w:rsid w:val="00F13F36"/>
    <w:rsid w:val="00F20EF6"/>
    <w:rsid w:val="00F21059"/>
    <w:rsid w:val="00F23323"/>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20B5"/>
    <w:rsid w:val="00F75B82"/>
    <w:rsid w:val="00F76472"/>
    <w:rsid w:val="00F76664"/>
    <w:rsid w:val="00F7755B"/>
    <w:rsid w:val="00F818C9"/>
    <w:rsid w:val="00F85565"/>
    <w:rsid w:val="00F85E40"/>
    <w:rsid w:val="00F93EB9"/>
    <w:rsid w:val="00FA4590"/>
    <w:rsid w:val="00FA48DF"/>
    <w:rsid w:val="00FA4F38"/>
    <w:rsid w:val="00FA60C3"/>
    <w:rsid w:val="00FB1923"/>
    <w:rsid w:val="00FB7C5F"/>
    <w:rsid w:val="00FC2574"/>
    <w:rsid w:val="00FC30D7"/>
    <w:rsid w:val="00FC3355"/>
    <w:rsid w:val="00FC3FC9"/>
    <w:rsid w:val="00FC63C6"/>
    <w:rsid w:val="00FC6A3F"/>
    <w:rsid w:val="00FD093C"/>
    <w:rsid w:val="00FD7210"/>
    <w:rsid w:val="00FF041D"/>
    <w:rsid w:val="00FF38BE"/>
    <w:rsid w:val="00FF4C8F"/>
    <w:rsid w:val="00FF4D22"/>
    <w:rsid w:val="00FF6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160bd,#1160c6,#115fc7"/>
    </o:shapedefaults>
    <o:shapelayout v:ext="edit">
      <o:idmap v:ext="edit" data="1"/>
    </o:shapelayout>
  </w:shapeDefaults>
  <w:decimalSymbol w:val=","/>
  <w:listSeparator w:val=";"/>
  <w15:chartTrackingRefBased/>
  <w15:docId w15:val="{3DC92E48-7FBE-4C9A-8C44-A8E37E3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1">
    <w:name w:val="heading 1"/>
    <w:basedOn w:val="Normal"/>
    <w:next w:val="Normal"/>
    <w:link w:val="Ttulo1Car"/>
    <w:qFormat/>
    <w:rsid w:val="008020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rsid w:val="008020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4F2EAD"/>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 w:type="paragraph" w:styleId="Textoindependiente2">
    <w:name w:val="Body Text 2"/>
    <w:basedOn w:val="Normal"/>
    <w:link w:val="Textoindependiente2Car"/>
    <w:rsid w:val="003A7094"/>
    <w:pPr>
      <w:spacing w:after="120" w:line="480" w:lineRule="auto"/>
    </w:pPr>
  </w:style>
  <w:style w:type="character" w:customStyle="1" w:styleId="Textoindependiente2Car">
    <w:name w:val="Texto independiente 2 Car"/>
    <w:link w:val="Textoindependiente2"/>
    <w:rsid w:val="003A7094"/>
    <w:rPr>
      <w:sz w:val="24"/>
      <w:lang w:val="es-ES_tradnl"/>
    </w:rPr>
  </w:style>
  <w:style w:type="character" w:customStyle="1" w:styleId="Ttulo1Car">
    <w:name w:val="Título 1 Car"/>
    <w:basedOn w:val="Fuentedeprrafopredeter"/>
    <w:link w:val="Ttulo1"/>
    <w:rsid w:val="00802037"/>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semiHidden/>
    <w:rsid w:val="00802037"/>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semiHidden/>
    <w:rsid w:val="004F2EAD"/>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28064028">
      <w:bodyDiv w:val="1"/>
      <w:marLeft w:val="0"/>
      <w:marRight w:val="0"/>
      <w:marTop w:val="0"/>
      <w:marBottom w:val="0"/>
      <w:divBdr>
        <w:top w:val="none" w:sz="0" w:space="0" w:color="auto"/>
        <w:left w:val="none" w:sz="0" w:space="0" w:color="auto"/>
        <w:bottom w:val="none" w:sz="0" w:space="0" w:color="auto"/>
        <w:right w:val="none" w:sz="0" w:space="0" w:color="auto"/>
      </w:divBdr>
    </w:div>
    <w:div w:id="1028945351">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194534886">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780560987">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1119</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Juan Carlos Anquela Mencía</cp:lastModifiedBy>
  <cp:revision>8</cp:revision>
  <cp:lastPrinted>2016-09-30T08:03:00Z</cp:lastPrinted>
  <dcterms:created xsi:type="dcterms:W3CDTF">2016-10-03T05:58:00Z</dcterms:created>
  <dcterms:modified xsi:type="dcterms:W3CDTF">2016-10-07T10:48:00Z</dcterms:modified>
</cp:coreProperties>
</file>